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2E" w:rsidRPr="009513AC" w:rsidRDefault="00B97E2E"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w:t>
      </w:r>
      <w:r w:rsidR="00786E69">
        <w:rPr>
          <w:rFonts w:ascii="Arial" w:hAnsi="Arial" w:cs="Arial"/>
          <w:b/>
          <w:bCs/>
          <w:sz w:val="28"/>
        </w:rPr>
        <w:t>8</w:t>
      </w:r>
      <w:r w:rsidR="0038087B">
        <w:rPr>
          <w:rFonts w:ascii="Arial" w:hAnsi="Arial" w:cs="Arial"/>
          <w:b/>
          <w:bCs/>
          <w:sz w:val="28"/>
        </w:rPr>
        <w:t xml:space="preserve">     </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w:t>
      </w:r>
      <w:r w:rsidR="00F16543">
        <w:rPr>
          <w:rFonts w:ascii="Arial" w:hAnsi="Arial" w:cs="Arial"/>
          <w:b/>
          <w:bCs/>
          <w:color w:val="000000" w:themeColor="text1"/>
          <w:sz w:val="28"/>
        </w:rPr>
        <w:t>908386</w:t>
      </w:r>
      <w:r>
        <w:rPr>
          <w:rFonts w:ascii="Arial" w:hAnsi="Arial" w:cs="Arial"/>
          <w:b/>
          <w:bCs/>
          <w:color w:val="000000" w:themeColor="text1"/>
          <w:sz w:val="28"/>
        </w:rPr>
        <w:t xml:space="preserve"> </w:t>
      </w:r>
      <w:r w:rsidR="00065541">
        <w:rPr>
          <w:rFonts w:ascii="Arial" w:eastAsia="MS Mincho" w:hAnsi="Arial" w:cs="Arial"/>
          <w:b/>
          <w:bCs/>
          <w:sz w:val="28"/>
          <w:lang w:eastAsia="ja-JP"/>
        </w:rPr>
        <w:t>Prague, C</w:t>
      </w:r>
      <w:r w:rsidR="002479C8">
        <w:rPr>
          <w:rFonts w:ascii="Arial" w:eastAsia="MS Mincho" w:hAnsi="Arial" w:cs="Arial"/>
          <w:b/>
          <w:bCs/>
          <w:sz w:val="28"/>
          <w:lang w:eastAsia="ja-JP"/>
        </w:rPr>
        <w:t>zech Republic</w:t>
      </w:r>
      <w:r w:rsidR="00065541">
        <w:rPr>
          <w:rFonts w:ascii="Arial" w:eastAsia="MS Mincho" w:hAnsi="Arial" w:cs="Arial"/>
          <w:b/>
          <w:bCs/>
          <w:sz w:val="28"/>
          <w:lang w:eastAsia="ja-JP"/>
        </w:rPr>
        <w:t>, August 26</w:t>
      </w:r>
      <w:r w:rsidR="00065541" w:rsidRPr="00BA33B5">
        <w:rPr>
          <w:rFonts w:ascii="Arial" w:eastAsia="MS Mincho" w:hAnsi="Arial" w:cs="Arial"/>
          <w:b/>
          <w:bCs/>
          <w:sz w:val="28"/>
          <w:vertAlign w:val="superscript"/>
          <w:lang w:eastAsia="ja-JP"/>
        </w:rPr>
        <w:t>th</w:t>
      </w:r>
      <w:r w:rsidR="00065541">
        <w:rPr>
          <w:rFonts w:ascii="Arial" w:eastAsia="MS Mincho" w:hAnsi="Arial" w:cs="Arial"/>
          <w:b/>
          <w:bCs/>
          <w:sz w:val="28"/>
          <w:lang w:eastAsia="ja-JP"/>
        </w:rPr>
        <w:t xml:space="preserve"> – 30</w:t>
      </w:r>
      <w:r w:rsidR="00065541" w:rsidRPr="00BA33B5">
        <w:rPr>
          <w:rFonts w:ascii="Arial" w:eastAsia="MS Mincho" w:hAnsi="Arial" w:cs="Arial"/>
          <w:b/>
          <w:bCs/>
          <w:sz w:val="28"/>
          <w:vertAlign w:val="superscript"/>
          <w:lang w:eastAsia="ja-JP"/>
        </w:rPr>
        <w:t>th</w:t>
      </w:r>
      <w:r w:rsidR="00065541">
        <w:rPr>
          <w:rFonts w:ascii="Arial" w:eastAsia="MS Mincho" w:hAnsi="Arial" w:cs="Arial"/>
          <w:b/>
          <w:bCs/>
          <w:sz w:val="28"/>
          <w:lang w:eastAsia="ja-JP"/>
        </w:rPr>
        <w:t>,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9C126A" w:rsidRPr="00D515A5" w:rsidRDefault="00D95361" w:rsidP="009B4F9A">
      <w:pPr>
        <w:rPr>
          <w:lang w:val="en-GB"/>
        </w:rPr>
      </w:pPr>
      <w:r>
        <w:rPr>
          <w:lang w:val="en-GB"/>
        </w:rPr>
        <w:t xml:space="preserve">Following the guidance from </w:t>
      </w:r>
      <w:r w:rsidR="00324128">
        <w:rPr>
          <w:lang w:val="en-GB"/>
        </w:rPr>
        <w:fldChar w:fldCharType="begin"/>
      </w:r>
      <w:r w:rsidR="00324128">
        <w:rPr>
          <w:lang w:val="en-GB"/>
        </w:rPr>
        <w:instrText xml:space="preserve"> REF _Ref16873406 \w \h </w:instrText>
      </w:r>
      <w:r w:rsidR="00324128">
        <w:rPr>
          <w:lang w:val="en-GB"/>
        </w:rPr>
      </w:r>
      <w:r w:rsidR="00324128">
        <w:rPr>
          <w:lang w:val="en-GB"/>
        </w:rPr>
        <w:fldChar w:fldCharType="separate"/>
      </w:r>
      <w:r w:rsidR="00D1449B">
        <w:rPr>
          <w:lang w:val="en-GB"/>
        </w:rPr>
        <w:t>[1]</w:t>
      </w:r>
      <w:r w:rsidR="00324128">
        <w:rPr>
          <w:lang w:val="en-GB"/>
        </w:rPr>
        <w:fldChar w:fldCharType="end"/>
      </w:r>
      <w:r w:rsidR="00324128">
        <w:rPr>
          <w:lang w:val="en-GB"/>
        </w:rPr>
        <w:t xml:space="preserve">, we address the essential remaining issues during an initial access procedure in this contribution. </w:t>
      </w:r>
      <w:bookmarkEnd w:id="0"/>
    </w:p>
    <w:p w:rsidR="003B4297" w:rsidRDefault="001F49DB" w:rsidP="009C126A">
      <w:pPr>
        <w:pStyle w:val="Heading1"/>
        <w:rPr>
          <w:lang w:eastAsia="zh-CN"/>
        </w:rPr>
      </w:pPr>
      <w:r>
        <w:rPr>
          <w:lang w:eastAsia="zh-CN"/>
        </w:rPr>
        <w:t>DRS</w:t>
      </w:r>
      <w:r w:rsidR="009511F8">
        <w:rPr>
          <w:lang w:eastAsia="zh-CN"/>
        </w:rPr>
        <w:t xml:space="preserve"> T</w:t>
      </w:r>
      <w:r w:rsidR="003B4297">
        <w:rPr>
          <w:lang w:eastAsia="zh-CN"/>
        </w:rPr>
        <w:t>ransmission</w:t>
      </w:r>
    </w:p>
    <w:p w:rsidR="00951416" w:rsidRDefault="00C47CA9" w:rsidP="00BA23E7">
      <w:pPr>
        <w:rPr>
          <w:lang w:val="en-GB" w:eastAsia="zh-CN"/>
        </w:rPr>
      </w:pPr>
      <w:r>
        <w:rPr>
          <w:lang w:val="en-GB" w:eastAsia="zh-CN"/>
        </w:rPr>
        <w:t>In this section, we discuss the two main remaining issues about DRS transmission: timing determination and QCL derivation.</w:t>
      </w:r>
    </w:p>
    <w:p w:rsidR="006658BA" w:rsidRPr="00E15752" w:rsidRDefault="00951416" w:rsidP="00951416">
      <w:pPr>
        <w:pStyle w:val="Heading2"/>
        <w:rPr>
          <w:lang w:eastAsia="zh-CN"/>
        </w:rPr>
      </w:pPr>
      <w:r>
        <w:rPr>
          <w:lang w:eastAsia="zh-CN"/>
        </w:rPr>
        <w:t>Timing recovery from detected SSB</w:t>
      </w:r>
    </w:p>
    <w:tbl>
      <w:tblPr>
        <w:tblStyle w:val="TableGrid"/>
        <w:tblW w:w="0" w:type="auto"/>
        <w:tblLook w:val="04A0" w:firstRow="1" w:lastRow="0" w:firstColumn="1" w:lastColumn="0" w:noHBand="0" w:noVBand="1"/>
      </w:tblPr>
      <w:tblGrid>
        <w:gridCol w:w="9631"/>
      </w:tblGrid>
      <w:tr w:rsidR="0047313C" w:rsidRPr="00C82899" w:rsidTr="0047313C">
        <w:tc>
          <w:tcPr>
            <w:tcW w:w="9631" w:type="dxa"/>
          </w:tcPr>
          <w:p w:rsidR="0047313C" w:rsidRPr="00C82899" w:rsidRDefault="0047313C" w:rsidP="0047313C">
            <w:pPr>
              <w:rPr>
                <w:rFonts w:ascii="Times New Roman" w:hAnsi="Times New Roman"/>
                <w:lang w:eastAsia="x-none"/>
              </w:rPr>
            </w:pPr>
            <w:r w:rsidRPr="00C82899">
              <w:rPr>
                <w:rFonts w:ascii="Times New Roman" w:hAnsi="Times New Roman"/>
                <w:highlight w:val="green"/>
                <w:lang w:eastAsia="x-none"/>
              </w:rPr>
              <w:t>Agreement:</w:t>
            </w:r>
          </w:p>
          <w:p w:rsidR="0047313C" w:rsidRPr="00C82899" w:rsidRDefault="0047313C" w:rsidP="0047313C">
            <w:pPr>
              <w:rPr>
                <w:rFonts w:ascii="Times New Roman" w:hAnsi="Times New Roman"/>
                <w:lang w:eastAsia="x-none"/>
              </w:rPr>
            </w:pPr>
            <w:r w:rsidRPr="00C82899">
              <w:rPr>
                <w:rFonts w:ascii="Times New Roman" w:hAnsi="Times New Roman"/>
                <w:lang w:eastAsia="x-none"/>
              </w:rPr>
              <w:t xml:space="preserve">The maximum DRS transmission window duration is 5 </w:t>
            </w:r>
            <w:proofErr w:type="spellStart"/>
            <w:r w:rsidRPr="00C82899">
              <w:rPr>
                <w:rFonts w:ascii="Times New Roman" w:hAnsi="Times New Roman"/>
                <w:lang w:eastAsia="x-none"/>
              </w:rPr>
              <w:t>ms.</w:t>
            </w:r>
            <w:proofErr w:type="spellEnd"/>
          </w:p>
          <w:p w:rsidR="0047313C" w:rsidRPr="00C82899" w:rsidRDefault="0047313C" w:rsidP="000C565C">
            <w:pPr>
              <w:numPr>
                <w:ilvl w:val="0"/>
                <w:numId w:val="13"/>
              </w:numPr>
              <w:overflowPunct/>
              <w:autoSpaceDE/>
              <w:autoSpaceDN/>
              <w:adjustRightInd/>
              <w:spacing w:after="0"/>
              <w:textAlignment w:val="auto"/>
              <w:rPr>
                <w:rFonts w:ascii="Times New Roman" w:hAnsi="Times New Roman"/>
                <w:lang w:eastAsia="x-none"/>
              </w:rPr>
            </w:pPr>
            <w:r w:rsidRPr="00C82899">
              <w:rPr>
                <w:rFonts w:ascii="Times New Roman" w:hAnsi="Times New Roman"/>
                <w:lang w:eastAsia="x-none"/>
              </w:rPr>
              <w:t>The maximum number of candidate SSB positions within a DRS transmission window, Y, is selected as Y = 10 for 15 kHz SCS and Y = 20 for 30 kHz SCS.</w:t>
            </w:r>
          </w:p>
          <w:p w:rsidR="0047313C" w:rsidRPr="00C82899" w:rsidRDefault="0047313C" w:rsidP="000C565C">
            <w:pPr>
              <w:numPr>
                <w:ilvl w:val="1"/>
                <w:numId w:val="13"/>
              </w:numPr>
              <w:overflowPunct/>
              <w:autoSpaceDE/>
              <w:autoSpaceDN/>
              <w:adjustRightInd/>
              <w:spacing w:after="0"/>
              <w:textAlignment w:val="auto"/>
              <w:rPr>
                <w:rFonts w:ascii="Times New Roman" w:hAnsi="Times New Roman"/>
                <w:lang w:eastAsia="x-none"/>
              </w:rPr>
            </w:pPr>
            <w:r w:rsidRPr="00C82899">
              <w:rPr>
                <w:rFonts w:ascii="Times New Roman" w:hAnsi="Times New Roman"/>
                <w:lang w:eastAsia="x-none"/>
              </w:rPr>
              <w:t xml:space="preserve">Note: The number of starting points for DRS transmissions with the 5 </w:t>
            </w:r>
            <w:proofErr w:type="spellStart"/>
            <w:r w:rsidRPr="00C82899">
              <w:rPr>
                <w:rFonts w:ascii="Times New Roman" w:hAnsi="Times New Roman"/>
                <w:lang w:eastAsia="x-none"/>
              </w:rPr>
              <w:t>ms</w:t>
            </w:r>
            <w:proofErr w:type="spellEnd"/>
            <w:r w:rsidRPr="00C82899">
              <w:rPr>
                <w:rFonts w:ascii="Times New Roman" w:hAnsi="Times New Roman"/>
                <w:lang w:eastAsia="x-none"/>
              </w:rPr>
              <w:t xml:space="preserve"> window that can use a Cat. 2 LBT is to be discussed further as part of channel access discussions.</w:t>
            </w:r>
          </w:p>
          <w:p w:rsidR="0047313C" w:rsidRDefault="0047313C" w:rsidP="0047313C">
            <w:pPr>
              <w:numPr>
                <w:ilvl w:val="0"/>
                <w:numId w:val="13"/>
              </w:numPr>
              <w:overflowPunct/>
              <w:autoSpaceDE/>
              <w:autoSpaceDN/>
              <w:adjustRightInd/>
              <w:spacing w:after="0"/>
              <w:textAlignment w:val="auto"/>
              <w:rPr>
                <w:rFonts w:ascii="Times New Roman" w:hAnsi="Times New Roman"/>
                <w:lang w:eastAsia="x-none"/>
              </w:rPr>
            </w:pPr>
            <w:r w:rsidRPr="00E15752">
              <w:rPr>
                <w:rFonts w:ascii="Times New Roman" w:hAnsi="Times New Roman"/>
                <w:lang w:eastAsia="x-none"/>
              </w:rPr>
              <w:t>FFS: If the DRS transmission window is configurable, and if yes, how to configure and indicate the window, including the range of configurable values.</w:t>
            </w:r>
          </w:p>
          <w:p w:rsidR="00E15752" w:rsidRPr="00C82899" w:rsidRDefault="00E15752" w:rsidP="00E15752">
            <w:pPr>
              <w:overflowPunct/>
              <w:autoSpaceDE/>
              <w:autoSpaceDN/>
              <w:adjustRightInd/>
              <w:spacing w:after="0"/>
              <w:ind w:left="720"/>
              <w:textAlignment w:val="auto"/>
              <w:rPr>
                <w:rFonts w:ascii="Times New Roman" w:hAnsi="Times New Roman"/>
                <w:lang w:eastAsia="x-none"/>
              </w:rPr>
            </w:pPr>
          </w:p>
          <w:p w:rsidR="0047313C" w:rsidRPr="00C82899" w:rsidRDefault="0047313C" w:rsidP="0047313C">
            <w:pPr>
              <w:rPr>
                <w:rFonts w:ascii="Times New Roman" w:hAnsi="Times New Roman"/>
                <w:lang w:eastAsia="x-none"/>
              </w:rPr>
            </w:pPr>
            <w:r w:rsidRPr="00C82899">
              <w:rPr>
                <w:rFonts w:ascii="Times New Roman" w:hAnsi="Times New Roman"/>
                <w:highlight w:val="green"/>
                <w:lang w:eastAsia="x-none"/>
              </w:rPr>
              <w:t>Agreement:</w:t>
            </w:r>
            <w:r w:rsidRPr="00C82899">
              <w:rPr>
                <w:rFonts w:ascii="Times New Roman" w:hAnsi="Times New Roman"/>
                <w:lang w:eastAsia="x-none"/>
              </w:rPr>
              <w:t xml:space="preserve"> </w:t>
            </w:r>
          </w:p>
          <w:p w:rsidR="0047313C" w:rsidRPr="00C82899" w:rsidRDefault="0047313C" w:rsidP="0047313C">
            <w:pPr>
              <w:rPr>
                <w:rFonts w:ascii="Times New Roman" w:hAnsi="Times New Roman"/>
                <w:lang w:val="en-GB" w:eastAsia="zh-CN"/>
              </w:rPr>
            </w:pPr>
            <w:r w:rsidRPr="00C82899">
              <w:rPr>
                <w:rFonts w:ascii="Times New Roman" w:hAnsi="Times New Roman"/>
                <w:lang w:eastAsia="x-none"/>
              </w:rPr>
              <w:t>For a given cell, the UE may assume that the PBCH DMRS sequence index is the same for SS/PBCH blocks that are transmitted at the same candidate positions across DRS transmission windows.</w:t>
            </w:r>
          </w:p>
        </w:tc>
      </w:tr>
    </w:tbl>
    <w:p w:rsidR="0047313C" w:rsidRDefault="0047313C" w:rsidP="00951416">
      <w:pPr>
        <w:rPr>
          <w:lang w:val="en-GB" w:eastAsia="zh-CN"/>
        </w:rPr>
      </w:pPr>
    </w:p>
    <w:tbl>
      <w:tblPr>
        <w:tblStyle w:val="TableGrid"/>
        <w:tblW w:w="0" w:type="auto"/>
        <w:tblLook w:val="04A0" w:firstRow="1" w:lastRow="0" w:firstColumn="1" w:lastColumn="0" w:noHBand="0" w:noVBand="1"/>
      </w:tblPr>
      <w:tblGrid>
        <w:gridCol w:w="9631"/>
      </w:tblGrid>
      <w:tr w:rsidR="00BE660F" w:rsidRPr="00C82899" w:rsidTr="00BE660F">
        <w:tc>
          <w:tcPr>
            <w:tcW w:w="9631" w:type="dxa"/>
          </w:tcPr>
          <w:p w:rsidR="00BE660F" w:rsidRPr="00C82899" w:rsidRDefault="00BE660F" w:rsidP="00BE660F">
            <w:pPr>
              <w:rPr>
                <w:rFonts w:ascii="Times New Roman" w:hAnsi="Times New Roman"/>
                <w:lang w:eastAsia="x-none"/>
              </w:rPr>
            </w:pPr>
            <w:r w:rsidRPr="00C82899">
              <w:rPr>
                <w:rFonts w:ascii="Times New Roman" w:hAnsi="Times New Roman"/>
                <w:highlight w:val="green"/>
                <w:lang w:eastAsia="x-none"/>
              </w:rPr>
              <w:t>Agreement:</w:t>
            </w:r>
          </w:p>
          <w:p w:rsidR="00BE660F" w:rsidRPr="00C82899" w:rsidRDefault="00BE660F" w:rsidP="00951416">
            <w:pPr>
              <w:rPr>
                <w:rFonts w:ascii="Times New Roman" w:hAnsi="Times New Roman"/>
                <w:lang w:eastAsia="x-none"/>
              </w:rPr>
            </w:pPr>
            <w:r w:rsidRPr="00C82899">
              <w:rPr>
                <w:rFonts w:ascii="Times New Roman" w:hAnsi="Times New Roman"/>
                <w:lang w:eastAsia="x-none"/>
              </w:rPr>
              <w:t>UE determines serving cell timing from the detected SSB candidate position, where the SSB candidate positions within the DRS transmission window are indexed from 0,…,Y-1 (Y = 10 for 15 kHz SCS and Y = 20 for 30 kHz SCS).</w:t>
            </w:r>
          </w:p>
        </w:tc>
      </w:tr>
    </w:tbl>
    <w:p w:rsidR="00BE660F" w:rsidRDefault="00BE660F" w:rsidP="00951416">
      <w:pPr>
        <w:rPr>
          <w:lang w:val="en-GB" w:eastAsia="zh-CN"/>
        </w:rPr>
      </w:pPr>
    </w:p>
    <w:tbl>
      <w:tblPr>
        <w:tblStyle w:val="TableGrid"/>
        <w:tblW w:w="0" w:type="auto"/>
        <w:tblLook w:val="04A0" w:firstRow="1" w:lastRow="0" w:firstColumn="1" w:lastColumn="0" w:noHBand="0" w:noVBand="1"/>
      </w:tblPr>
      <w:tblGrid>
        <w:gridCol w:w="9631"/>
      </w:tblGrid>
      <w:tr w:rsidR="00FA1352" w:rsidRPr="00765963" w:rsidTr="00FA1352">
        <w:tc>
          <w:tcPr>
            <w:tcW w:w="9631" w:type="dxa"/>
          </w:tcPr>
          <w:p w:rsidR="00765963" w:rsidRPr="00765963" w:rsidRDefault="00765963" w:rsidP="00765963">
            <w:pPr>
              <w:rPr>
                <w:rFonts w:ascii="Times New Roman" w:hAnsi="Times New Roman"/>
              </w:rPr>
            </w:pPr>
            <w:r w:rsidRPr="00765963">
              <w:rPr>
                <w:rFonts w:ascii="Times New Roman" w:hAnsi="Times New Roman"/>
                <w:highlight w:val="green"/>
              </w:rPr>
              <w:t>Agreement:</w:t>
            </w:r>
          </w:p>
          <w:p w:rsidR="00765963" w:rsidRPr="00765963" w:rsidRDefault="00765963" w:rsidP="00765963">
            <w:pPr>
              <w:rPr>
                <w:rFonts w:ascii="Times New Roman" w:hAnsi="Times New Roman"/>
                <w:b/>
                <w:u w:val="single"/>
              </w:rPr>
            </w:pPr>
            <w:r w:rsidRPr="00765963">
              <w:rPr>
                <w:rFonts w:ascii="Times New Roman" w:hAnsi="Times New Roman"/>
              </w:rPr>
              <w:t xml:space="preserve">The mechanism to determine serving cell timing is as follows: </w:t>
            </w:r>
          </w:p>
          <w:p w:rsidR="00765963" w:rsidRPr="00765963" w:rsidRDefault="00765963" w:rsidP="00765963">
            <w:pPr>
              <w:numPr>
                <w:ilvl w:val="0"/>
                <w:numId w:val="24"/>
              </w:numPr>
              <w:overflowPunct/>
              <w:autoSpaceDE/>
              <w:autoSpaceDN/>
              <w:adjustRightInd/>
              <w:spacing w:after="0"/>
              <w:textAlignment w:val="auto"/>
              <w:rPr>
                <w:rFonts w:ascii="Times New Roman" w:hAnsi="Times New Roman"/>
                <w:b/>
                <w:u w:val="single"/>
              </w:rPr>
            </w:pPr>
            <w:r w:rsidRPr="00765963">
              <w:rPr>
                <w:rFonts w:ascii="Times New Roman" w:hAnsi="Times New Roman"/>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65963" w:rsidRPr="00765963" w:rsidRDefault="00765963" w:rsidP="00765963">
            <w:pPr>
              <w:numPr>
                <w:ilvl w:val="0"/>
                <w:numId w:val="24"/>
              </w:numPr>
              <w:overflowPunct/>
              <w:autoSpaceDE/>
              <w:autoSpaceDN/>
              <w:adjustRightInd/>
              <w:spacing w:after="0"/>
              <w:textAlignment w:val="auto"/>
              <w:rPr>
                <w:rFonts w:ascii="Times New Roman" w:hAnsi="Times New Roman"/>
                <w:b/>
                <w:u w:val="single"/>
              </w:rPr>
            </w:pPr>
            <w:r w:rsidRPr="00765963">
              <w:rPr>
                <w:rFonts w:ascii="Times New Roman" w:hAnsi="Times New Roman"/>
              </w:rPr>
              <w:t xml:space="preserve">10-bits SFN and half-frame indicator are indicated as in Rel-15 </w:t>
            </w:r>
          </w:p>
          <w:p w:rsidR="00765963" w:rsidRPr="00765963" w:rsidRDefault="00765963" w:rsidP="00765963">
            <w:pPr>
              <w:numPr>
                <w:ilvl w:val="0"/>
                <w:numId w:val="24"/>
              </w:numPr>
              <w:overflowPunct/>
              <w:autoSpaceDE/>
              <w:autoSpaceDN/>
              <w:adjustRightInd/>
              <w:spacing w:after="0"/>
              <w:textAlignment w:val="auto"/>
              <w:rPr>
                <w:rFonts w:ascii="Times New Roman" w:hAnsi="Times New Roman"/>
              </w:rPr>
            </w:pPr>
            <w:r w:rsidRPr="00765963">
              <w:rPr>
                <w:rFonts w:ascii="Times New Roman" w:hAnsi="Times New Roman"/>
              </w:rPr>
              <w:t>PBCH payload size is not increased compared to Rel-15</w:t>
            </w:r>
          </w:p>
          <w:p w:rsidR="00765963" w:rsidRPr="00765963" w:rsidRDefault="00765963" w:rsidP="00765963">
            <w:pPr>
              <w:numPr>
                <w:ilvl w:val="1"/>
                <w:numId w:val="24"/>
              </w:numPr>
              <w:overflowPunct/>
              <w:autoSpaceDE/>
              <w:autoSpaceDN/>
              <w:adjustRightInd/>
              <w:spacing w:after="0"/>
              <w:textAlignment w:val="auto"/>
              <w:rPr>
                <w:rFonts w:ascii="Times New Roman" w:hAnsi="Times New Roman"/>
                <w:b/>
                <w:u w:val="single"/>
              </w:rPr>
            </w:pPr>
            <w:r w:rsidRPr="00765963">
              <w:rPr>
                <w:rFonts w:ascii="Times New Roman" w:hAnsi="Times New Roman"/>
              </w:rPr>
              <w:lastRenderedPageBreak/>
              <w:t>FFS: Whether reuse of other available bits in PBCH payload is also required for timing determination</w:t>
            </w:r>
          </w:p>
          <w:p w:rsidR="00FA1352" w:rsidRPr="00765963" w:rsidRDefault="00765963" w:rsidP="00765963">
            <w:pPr>
              <w:numPr>
                <w:ilvl w:val="0"/>
                <w:numId w:val="24"/>
              </w:numPr>
              <w:overflowPunct/>
              <w:autoSpaceDE/>
              <w:autoSpaceDN/>
              <w:adjustRightInd/>
              <w:spacing w:after="0"/>
              <w:textAlignment w:val="auto"/>
              <w:rPr>
                <w:rFonts w:ascii="Times New Roman" w:hAnsi="Times New Roman"/>
                <w:b/>
                <w:u w:val="single"/>
              </w:rPr>
            </w:pPr>
            <w:r w:rsidRPr="00765963">
              <w:rPr>
                <w:rFonts w:ascii="Times New Roman" w:hAnsi="Times New Roman"/>
              </w:rPr>
              <w:t>If the UE is required to perform PBCH decoding of neighbor cell(s) (e.g., in asynchronous deployments), an explicit time allowance for acquisition of SSB index is provided to the UE</w:t>
            </w:r>
          </w:p>
        </w:tc>
      </w:tr>
    </w:tbl>
    <w:p w:rsidR="00CE2804" w:rsidRDefault="00CE2804" w:rsidP="00951416">
      <w:pPr>
        <w:rPr>
          <w:lang w:val="en-GB" w:eastAsia="zh-CN"/>
        </w:rPr>
      </w:pPr>
    </w:p>
    <w:p w:rsidR="00E15752" w:rsidRDefault="00E15752" w:rsidP="00951416">
      <w:pPr>
        <w:rPr>
          <w:lang w:val="en-GB" w:eastAsia="zh-CN"/>
        </w:rPr>
      </w:pPr>
      <w:r>
        <w:rPr>
          <w:lang w:val="en-GB" w:eastAsia="zh-CN"/>
        </w:rPr>
        <w:t>Though the terminology of “SSB candidate position</w:t>
      </w:r>
      <w:r w:rsidR="00AB6AF0">
        <w:rPr>
          <w:lang w:val="en-GB" w:eastAsia="zh-CN"/>
        </w:rPr>
        <w:t xml:space="preserve">” has been used in previous agreements, we have not defined it clearly. For example, when there is only one SSB transmitted in a slot, how many SSB candidate positions are there? Hence, we propose that there are always two SSB candidate positions within a slot in a DRS transmission window regardless of whether the number of actually transmitted SSBs within a slot is one or two. Therefore, the SSB candidate position indices within a DRS transmission window are only dependent on the SSB SCS and the DRS transmission window size. As to the DRS transmission window size, we think it should be configurable via higher layer signalling and its values can be the same as </w:t>
      </w:r>
      <w:r w:rsidR="005827D8">
        <w:rPr>
          <w:lang w:val="en-GB" w:eastAsia="zh-CN"/>
        </w:rPr>
        <w:t xml:space="preserve">the SMTC configuration in </w:t>
      </w:r>
      <w:r w:rsidR="00AB6AF0">
        <w:rPr>
          <w:lang w:val="en-GB" w:eastAsia="zh-CN"/>
        </w:rPr>
        <w:t xml:space="preserve">NR R15.    </w:t>
      </w:r>
      <w:r>
        <w:rPr>
          <w:lang w:val="en-GB" w:eastAsia="zh-CN"/>
        </w:rPr>
        <w:t xml:space="preserve"> </w:t>
      </w:r>
    </w:p>
    <w:p w:rsidR="0034639A" w:rsidRDefault="008E7336" w:rsidP="00816C08">
      <w:pPr>
        <w:pStyle w:val="Caption"/>
      </w:pPr>
      <w:bookmarkStart w:id="1" w:name="_Ref16659932"/>
      <w:bookmarkStart w:id="2" w:name="_Ref16919200"/>
      <w:r>
        <w:t xml:space="preserve">Proposal </w:t>
      </w:r>
      <w:fldSimple w:instr=" SEQ Proposal \* ARABIC ">
        <w:r w:rsidR="00D1449B">
          <w:rPr>
            <w:noProof/>
          </w:rPr>
          <w:t>1</w:t>
        </w:r>
      </w:fldSimple>
      <w:bookmarkEnd w:id="1"/>
      <w:r>
        <w:t xml:space="preserve">: </w:t>
      </w:r>
      <w:r w:rsidR="002804FF">
        <w:t xml:space="preserve">There are always two </w:t>
      </w:r>
      <w:r w:rsidR="005827D8">
        <w:t xml:space="preserve">SSB </w:t>
      </w:r>
      <w:r w:rsidR="00CE2804">
        <w:t xml:space="preserve">candidate </w:t>
      </w:r>
      <w:r w:rsidR="002804FF">
        <w:t>positions within a slot regardless</w:t>
      </w:r>
      <w:r w:rsidR="00816C08">
        <w:t xml:space="preserve"> of </w:t>
      </w:r>
      <w:r w:rsidR="002804FF">
        <w:t xml:space="preserve">the number of actually transmitted SSBs </w:t>
      </w:r>
      <w:r w:rsidR="0034639A">
        <w:t>within a slot.</w:t>
      </w:r>
      <w:bookmarkEnd w:id="2"/>
      <w:r w:rsidR="0034639A">
        <w:t xml:space="preserve"> </w:t>
      </w:r>
    </w:p>
    <w:p w:rsidR="00816C08" w:rsidRDefault="004E4FD3" w:rsidP="0034639A">
      <w:pPr>
        <w:pStyle w:val="Caption"/>
        <w:numPr>
          <w:ilvl w:val="0"/>
          <w:numId w:val="34"/>
        </w:numPr>
      </w:pPr>
      <w:r>
        <w:t xml:space="preserve">Note: </w:t>
      </w:r>
      <w:r w:rsidR="0034639A">
        <w:t>T</w:t>
      </w:r>
      <w:r w:rsidR="00816C08">
        <w:t xml:space="preserve">he </w:t>
      </w:r>
      <w:r w:rsidR="005827D8">
        <w:t xml:space="preserve">SSB </w:t>
      </w:r>
      <w:r w:rsidR="00CE2804">
        <w:t xml:space="preserve">candidate </w:t>
      </w:r>
      <w:r w:rsidR="00816C08">
        <w:t>position index within a DRS transmission</w:t>
      </w:r>
      <w:r w:rsidR="00CE2804">
        <w:t xml:space="preserve"> window</w:t>
      </w:r>
      <w:r w:rsidR="0034639A">
        <w:t xml:space="preserve"> is defin</w:t>
      </w:r>
      <w:r w:rsidR="005827D8">
        <w:t>ed accordingly from 0 to y-1 where y</w:t>
      </w:r>
      <w:r w:rsidR="0034639A">
        <w:t xml:space="preserve"> is determined by SCS and the DRS transmission window duration. </w:t>
      </w:r>
    </w:p>
    <w:p w:rsidR="00AB6AF0" w:rsidRDefault="0034639A" w:rsidP="009D4A96">
      <w:pPr>
        <w:pStyle w:val="Caption"/>
      </w:pPr>
      <w:bookmarkStart w:id="3" w:name="_Ref16919209"/>
      <w:r>
        <w:t xml:space="preserve">Proposal </w:t>
      </w:r>
      <w:fldSimple w:instr=" SEQ Proposal \* ARABIC ">
        <w:r w:rsidR="00D1449B">
          <w:rPr>
            <w:noProof/>
          </w:rPr>
          <w:t>2</w:t>
        </w:r>
      </w:fldSimple>
      <w:r>
        <w:t xml:space="preserve">: The DRS transmission window duration can be {1, 2, 3, 4, 5} </w:t>
      </w:r>
      <w:proofErr w:type="spellStart"/>
      <w:r w:rsidR="001B4028">
        <w:t>msec</w:t>
      </w:r>
      <w:proofErr w:type="spellEnd"/>
      <w:r w:rsidR="00FC0FF7">
        <w:t xml:space="preserve">, same as </w:t>
      </w:r>
      <w:r>
        <w:t>the value range of SMTC</w:t>
      </w:r>
      <w:r w:rsidR="00FC0FF7">
        <w:t xml:space="preserve"> duration supported</w:t>
      </w:r>
      <w:r>
        <w:t xml:space="preserve"> in NR R15.</w:t>
      </w:r>
      <w:bookmarkEnd w:id="3"/>
    </w:p>
    <w:p w:rsidR="00E43899" w:rsidRDefault="00E43899" w:rsidP="00AB6AF0"/>
    <w:p w:rsidR="005827D8" w:rsidRPr="00AB6AF0" w:rsidRDefault="005827D8" w:rsidP="00AB6AF0">
      <w:r>
        <w:t xml:space="preserve">Based on the previous agreements, UE can determine the timing of its serving cell by the detected SSB candidate position index, the half frame indicator, and the 10-bit SFN from PBCH. </w:t>
      </w:r>
      <w:r w:rsidR="009D4A96">
        <w:t xml:space="preserve">For both SCS=30kHz and 15kHz, the 3LB bits of the SSB candidate position index are represented by the 8 PBCH DMRS sequences similar to how the 3 LSB bits of SSB index is indicated in NR R15. </w:t>
      </w:r>
      <w:r w:rsidR="00D74185">
        <w:t>For SCS=</w:t>
      </w:r>
      <w:r w:rsidR="00901333">
        <w:t>15</w:t>
      </w:r>
      <w:r w:rsidR="00BF3DBE">
        <w:t xml:space="preserve"> kHz</w:t>
      </w:r>
      <w:r w:rsidR="00901333">
        <w:t xml:space="preserve"> and </w:t>
      </w:r>
      <w:r w:rsidR="00D74185">
        <w:t>30</w:t>
      </w:r>
      <w:r w:rsidR="00BF3DBE">
        <w:t xml:space="preserve"> </w:t>
      </w:r>
      <w:r w:rsidR="00D74185">
        <w:t xml:space="preserve">kHz, </w:t>
      </w:r>
      <w:r w:rsidR="00901333">
        <w:t xml:space="preserve">one and </w:t>
      </w:r>
      <w:r w:rsidR="00D74185">
        <w:t xml:space="preserve">two </w:t>
      </w:r>
      <w:r w:rsidR="00901333">
        <w:t>more</w:t>
      </w:r>
      <w:r w:rsidR="00D74185">
        <w:t xml:space="preserve"> bits are needed</w:t>
      </w:r>
      <w:r w:rsidR="00901333">
        <w:t xml:space="preserve"> to represent the MSB bits, respectively</w:t>
      </w:r>
      <w:r w:rsidR="00D74185">
        <w:t xml:space="preserve">. We propose to use the two </w:t>
      </w:r>
      <w:r w:rsidR="00901333">
        <w:t>reserved</w:t>
      </w:r>
      <w:r w:rsidR="00D74185">
        <w:t xml:space="preserve"> bits in PBCH payload</w:t>
      </w:r>
      <w:r w:rsidR="00901333">
        <w:t xml:space="preserve"> in FR1. Specifically, for SCS=30</w:t>
      </w:r>
      <w:r w:rsidR="00BF3DBE">
        <w:t xml:space="preserve"> </w:t>
      </w:r>
      <w:r w:rsidR="00901333">
        <w:t xml:space="preserve">kHz, we can use </w:t>
      </w:r>
      <w:r w:rsidR="00901333" w:rsidRPr="002625EB">
        <w:rPr>
          <w:position w:val="-14"/>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5pt;height:19.15pt" o:ole="">
            <v:imagedata r:id="rId11" o:title=""/>
          </v:shape>
          <o:OLEObject Type="Embed" ProgID="Equation.3" ShapeID="_x0000_i1025" DrawAspect="Content" ObjectID="_1627535463" r:id="rId12"/>
        </w:object>
      </w:r>
      <w:r w:rsidR="00901333">
        <w:t>in 7.1.1 of TS38.212 to represent the 5</w:t>
      </w:r>
      <w:r w:rsidR="00901333" w:rsidRPr="00CE2804">
        <w:rPr>
          <w:vertAlign w:val="superscript"/>
        </w:rPr>
        <w:t>th</w:t>
      </w:r>
      <w:r w:rsidR="00901333">
        <w:t xml:space="preserve"> and 4</w:t>
      </w:r>
      <w:r w:rsidR="00901333" w:rsidRPr="00CE2804">
        <w:rPr>
          <w:vertAlign w:val="superscript"/>
        </w:rPr>
        <w:t>th</w:t>
      </w:r>
      <w:r w:rsidR="00901333">
        <w:t xml:space="preserve"> bits of the SSB candidate position index, respectively. For SCS=15</w:t>
      </w:r>
      <w:r w:rsidR="00BF3DBE">
        <w:t xml:space="preserve"> </w:t>
      </w:r>
      <w:r w:rsidR="00901333">
        <w:t>kHz, we propose to use</w:t>
      </w:r>
      <w:r w:rsidR="00901333" w:rsidRPr="002625EB">
        <w:rPr>
          <w:position w:val="-14"/>
        </w:rPr>
        <w:object w:dxaOrig="999" w:dyaOrig="380">
          <v:shape id="_x0000_i1026" type="#_x0000_t75" style="width:23.3pt;height:19.15pt" o:ole="">
            <v:imagedata r:id="rId11" o:title="" cropright="35528f"/>
          </v:shape>
          <o:OLEObject Type="Embed" ProgID="Equation.3" ShapeID="_x0000_i1026" DrawAspect="Content" ObjectID="_1627535464" r:id="rId13"/>
        </w:object>
      </w:r>
      <w:r w:rsidR="00901333">
        <w:t xml:space="preserve"> in 7.1.1 of TS38.212 as the 4</w:t>
      </w:r>
      <w:r w:rsidR="00901333" w:rsidRPr="00CE2804">
        <w:rPr>
          <w:vertAlign w:val="superscript"/>
        </w:rPr>
        <w:t>th</w:t>
      </w:r>
      <w:r w:rsidR="00901333">
        <w:t xml:space="preserve"> bit of the SSB candidate position index. </w:t>
      </w:r>
      <w:r w:rsidR="00AA13A1">
        <w:t xml:space="preserve">Once UE reads the position index, half frame indicator, and SFN from PBCH, it can determine the timing of the serving cell. </w:t>
      </w:r>
      <w:r>
        <w:t xml:space="preserve">We do not see the need to reuse other bits in PBCH for timing </w:t>
      </w:r>
      <w:r w:rsidR="00AA13A1">
        <w:t>related information</w:t>
      </w:r>
      <w:r>
        <w:t xml:space="preserve">. </w:t>
      </w:r>
    </w:p>
    <w:p w:rsidR="003D3EC9" w:rsidRPr="003D3EC9" w:rsidRDefault="003D3EC9" w:rsidP="003D3EC9">
      <w:pPr>
        <w:pStyle w:val="Caption"/>
      </w:pPr>
      <w:bookmarkStart w:id="4" w:name="_Ref16919217"/>
      <w:r>
        <w:t xml:space="preserve">Proposal </w:t>
      </w:r>
      <w:fldSimple w:instr=" SEQ Proposal \* ARABIC ">
        <w:r w:rsidR="00D1449B">
          <w:rPr>
            <w:noProof/>
          </w:rPr>
          <w:t>3</w:t>
        </w:r>
      </w:fldSimple>
      <w:r>
        <w:t xml:space="preserve">: For both SCS=30kHz and 15kHz, the 3 LSB bits of the </w:t>
      </w:r>
      <w:r w:rsidR="009D4A96">
        <w:t xml:space="preserve">SSB </w:t>
      </w:r>
      <w:r>
        <w:t>candidate position index is represented by the 8 PBCH DMRS sequences defined in NR R15.</w:t>
      </w:r>
      <w:bookmarkEnd w:id="4"/>
      <w:r>
        <w:t xml:space="preserve"> </w:t>
      </w:r>
    </w:p>
    <w:p w:rsidR="00CE2804" w:rsidRPr="00CE2804" w:rsidRDefault="00CE2804" w:rsidP="00CE2804">
      <w:pPr>
        <w:pStyle w:val="Caption"/>
      </w:pPr>
      <w:bookmarkStart w:id="5" w:name="_Ref16919222"/>
      <w:r>
        <w:t xml:space="preserve">Proposal </w:t>
      </w:r>
      <w:fldSimple w:instr=" SEQ Proposal \* ARABIC ">
        <w:r w:rsidR="00D1449B">
          <w:rPr>
            <w:noProof/>
          </w:rPr>
          <w:t>4</w:t>
        </w:r>
      </w:fldSimple>
      <w:r>
        <w:t>: For SCS=</w:t>
      </w:r>
      <w:r w:rsidR="00DF6EC1">
        <w:t>30 kHz</w:t>
      </w:r>
      <w:r>
        <w:t xml:space="preserve">, use </w:t>
      </w:r>
      <w:r w:rsidRPr="002625EB">
        <w:rPr>
          <w:position w:val="-14"/>
        </w:rPr>
        <w:object w:dxaOrig="999" w:dyaOrig="380">
          <v:shape id="_x0000_i1027" type="#_x0000_t75" style="width:50.75pt;height:19.15pt" o:ole="">
            <v:imagedata r:id="rId11" o:title=""/>
          </v:shape>
          <o:OLEObject Type="Embed" ProgID="Equation.3" ShapeID="_x0000_i1027" DrawAspect="Content" ObjectID="_1627535465" r:id="rId14"/>
        </w:object>
      </w:r>
      <w:r>
        <w:t xml:space="preserve">in 7.1.1 of TS38.212 </w:t>
      </w:r>
      <w:r w:rsidR="005B218D">
        <w:t>to represent</w:t>
      </w:r>
      <w:r>
        <w:t xml:space="preserve"> the 5</w:t>
      </w:r>
      <w:r w:rsidRPr="00CE2804">
        <w:rPr>
          <w:vertAlign w:val="superscript"/>
        </w:rPr>
        <w:t>th</w:t>
      </w:r>
      <w:r>
        <w:t xml:space="preserve"> and 4</w:t>
      </w:r>
      <w:r w:rsidRPr="00CE2804">
        <w:rPr>
          <w:vertAlign w:val="superscript"/>
        </w:rPr>
        <w:t>th</w:t>
      </w:r>
      <w:r w:rsidR="00901333">
        <w:t xml:space="preserve"> bits of the SSB candidate </w:t>
      </w:r>
      <w:r>
        <w:t>position index</w:t>
      </w:r>
      <w:r w:rsidR="005B218D">
        <w:t>, respectively</w:t>
      </w:r>
      <w:r>
        <w:t>. For SCS=</w:t>
      </w:r>
      <w:r w:rsidR="00DF6EC1">
        <w:t>15 kHz</w:t>
      </w:r>
      <w:r>
        <w:t xml:space="preserve">, use </w:t>
      </w:r>
      <w:r w:rsidR="0034639A" w:rsidRPr="002625EB">
        <w:rPr>
          <w:position w:val="-14"/>
        </w:rPr>
        <w:object w:dxaOrig="999" w:dyaOrig="380">
          <v:shape id="_x0000_i1028" type="#_x0000_t75" style="width:23.3pt;height:19.15pt" o:ole="">
            <v:imagedata r:id="rId11" o:title="" cropright="35528f"/>
          </v:shape>
          <o:OLEObject Type="Embed" ProgID="Equation.3" ShapeID="_x0000_i1028" DrawAspect="Content" ObjectID="_1627535466" r:id="rId15"/>
        </w:object>
      </w:r>
      <w:r>
        <w:t xml:space="preserve"> in 7.1.1 of TS38.212 as the 4</w:t>
      </w:r>
      <w:r w:rsidRPr="00CE2804">
        <w:rPr>
          <w:vertAlign w:val="superscript"/>
        </w:rPr>
        <w:t>th</w:t>
      </w:r>
      <w:r>
        <w:t xml:space="preserve"> bit of the </w:t>
      </w:r>
      <w:r w:rsidR="00901333">
        <w:t xml:space="preserve">SSB </w:t>
      </w:r>
      <w:r>
        <w:t>candidate position index.</w:t>
      </w:r>
      <w:bookmarkEnd w:id="5"/>
      <w:r>
        <w:t xml:space="preserve">  </w:t>
      </w:r>
    </w:p>
    <w:p w:rsidR="003D3EC9" w:rsidRDefault="003D3EC9" w:rsidP="003D3EC9">
      <w:pPr>
        <w:pStyle w:val="Caption"/>
      </w:pPr>
      <w:bookmarkStart w:id="6" w:name="_Ref16919228"/>
      <w:r>
        <w:t xml:space="preserve">Proposal </w:t>
      </w:r>
      <w:fldSimple w:instr=" SEQ Proposal \* ARABIC ">
        <w:r w:rsidR="00D1449B">
          <w:rPr>
            <w:noProof/>
          </w:rPr>
          <w:t>5</w:t>
        </w:r>
      </w:fldSimple>
      <w:r>
        <w:t xml:space="preserve">: UE determines serving cell timing based on the detected </w:t>
      </w:r>
      <w:r w:rsidR="005827D8">
        <w:t xml:space="preserve">SSB </w:t>
      </w:r>
      <w:r>
        <w:t>candidate position index, the half-fram</w:t>
      </w:r>
      <w:r w:rsidR="00621F63">
        <w:t>e indicator, and the 10-bit SFN from PBCH. No other bits in PBCH payload are required for timing indication.</w:t>
      </w:r>
      <w:bookmarkEnd w:id="6"/>
    </w:p>
    <w:p w:rsidR="008F5911" w:rsidRPr="00E15752" w:rsidRDefault="008F5911" w:rsidP="00951416">
      <w:pPr>
        <w:rPr>
          <w:lang w:eastAsia="zh-CN"/>
        </w:rPr>
      </w:pPr>
    </w:p>
    <w:p w:rsidR="00951416" w:rsidRDefault="00951416" w:rsidP="00951416">
      <w:pPr>
        <w:pStyle w:val="Heading2"/>
        <w:rPr>
          <w:lang w:eastAsia="zh-CN"/>
        </w:rPr>
      </w:pPr>
      <w:r>
        <w:rPr>
          <w:lang w:eastAsia="zh-CN"/>
        </w:rPr>
        <w:t xml:space="preserve">QCL derivation </w:t>
      </w:r>
    </w:p>
    <w:tbl>
      <w:tblPr>
        <w:tblStyle w:val="TableGrid"/>
        <w:tblW w:w="0" w:type="auto"/>
        <w:tblLook w:val="04A0" w:firstRow="1" w:lastRow="0" w:firstColumn="1" w:lastColumn="0" w:noHBand="0" w:noVBand="1"/>
      </w:tblPr>
      <w:tblGrid>
        <w:gridCol w:w="9631"/>
      </w:tblGrid>
      <w:tr w:rsidR="00CA4C4E" w:rsidRPr="00A64D99" w:rsidTr="00CA4C4E">
        <w:tc>
          <w:tcPr>
            <w:tcW w:w="9631" w:type="dxa"/>
          </w:tcPr>
          <w:p w:rsidR="00CA4C4E" w:rsidRPr="002161FE" w:rsidRDefault="00CA4C4E" w:rsidP="00CA4C4E">
            <w:pPr>
              <w:rPr>
                <w:rFonts w:ascii="Times New Roman" w:hAnsi="Times New Roman"/>
              </w:rPr>
            </w:pPr>
            <w:r w:rsidRPr="002161FE">
              <w:rPr>
                <w:rFonts w:ascii="Times New Roman" w:hAnsi="Times New Roman"/>
                <w:highlight w:val="green"/>
              </w:rPr>
              <w:t>Agreement:</w:t>
            </w:r>
          </w:p>
          <w:p w:rsidR="00CA4C4E" w:rsidRPr="002161FE" w:rsidRDefault="00CA4C4E" w:rsidP="00CA4C4E">
            <w:pPr>
              <w:spacing w:line="288" w:lineRule="auto"/>
              <w:rPr>
                <w:rFonts w:ascii="Times New Roman" w:eastAsia="MS Mincho" w:hAnsi="Times New Roman"/>
              </w:rPr>
            </w:pPr>
            <w:r w:rsidRPr="002161FE">
              <w:rPr>
                <w:rFonts w:ascii="Times New Roman" w:hAnsi="Times New Roman"/>
              </w:rPr>
              <w:t>For a serving cell, UE may assume a QCL relation between SS/PBCH blocks which are detected across DRS transmission windows and have the same value of modulo(A, Q), once Q is known to the UE</w:t>
            </w:r>
          </w:p>
          <w:p w:rsidR="00CA4C4E" w:rsidRPr="002161FE" w:rsidRDefault="00CA4C4E" w:rsidP="000C565C">
            <w:pPr>
              <w:pStyle w:val="ListParagraph"/>
              <w:numPr>
                <w:ilvl w:val="0"/>
                <w:numId w:val="26"/>
              </w:numPr>
              <w:spacing w:line="288" w:lineRule="auto"/>
              <w:ind w:firstLineChars="0"/>
              <w:contextualSpacing/>
              <w:rPr>
                <w:rFonts w:ascii="Times New Roman" w:hAnsi="Times New Roman"/>
                <w:sz w:val="20"/>
                <w:szCs w:val="20"/>
              </w:rPr>
            </w:pPr>
            <w:r w:rsidRPr="002161FE">
              <w:rPr>
                <w:rFonts w:ascii="Times New Roman" w:hAnsi="Times New Roman"/>
                <w:sz w:val="20"/>
                <w:szCs w:val="20"/>
              </w:rPr>
              <w:t xml:space="preserve">FFS: A is </w:t>
            </w:r>
            <w:r w:rsidRPr="001C0E5A">
              <w:rPr>
                <w:rFonts w:ascii="Times New Roman" w:hAnsi="Times New Roman"/>
                <w:sz w:val="20"/>
                <w:szCs w:val="20"/>
              </w:rPr>
              <w:t>the SSB candidate position index</w:t>
            </w:r>
            <w:r w:rsidRPr="002161FE">
              <w:rPr>
                <w:rFonts w:ascii="Times New Roman" w:hAnsi="Times New Roman"/>
                <w:sz w:val="20"/>
                <w:szCs w:val="20"/>
              </w:rPr>
              <w:t xml:space="preserve"> and/or PBCH DMRS sequence index</w:t>
            </w:r>
          </w:p>
          <w:p w:rsidR="00CA4C4E" w:rsidRPr="002161FE" w:rsidRDefault="00CA4C4E" w:rsidP="000C565C">
            <w:pPr>
              <w:pStyle w:val="ListParagraph"/>
              <w:numPr>
                <w:ilvl w:val="0"/>
                <w:numId w:val="26"/>
              </w:numPr>
              <w:spacing w:line="288" w:lineRule="auto"/>
              <w:ind w:firstLineChars="0"/>
              <w:contextualSpacing/>
              <w:rPr>
                <w:rFonts w:ascii="Times New Roman" w:hAnsi="Times New Roman"/>
                <w:sz w:val="20"/>
                <w:szCs w:val="20"/>
              </w:rPr>
            </w:pPr>
            <w:r w:rsidRPr="002161FE">
              <w:rPr>
                <w:rFonts w:ascii="Times New Roman" w:hAnsi="Times New Roman"/>
                <w:sz w:val="20"/>
                <w:szCs w:val="20"/>
              </w:rPr>
              <w:t xml:space="preserve">FFS: How Q is indicated or determined </w:t>
            </w:r>
          </w:p>
          <w:p w:rsidR="00CA4C4E" w:rsidRPr="002161FE" w:rsidRDefault="00CA4C4E" w:rsidP="000C565C">
            <w:pPr>
              <w:pStyle w:val="ListParagraph"/>
              <w:numPr>
                <w:ilvl w:val="0"/>
                <w:numId w:val="26"/>
              </w:numPr>
              <w:spacing w:line="288" w:lineRule="auto"/>
              <w:ind w:firstLineChars="0"/>
              <w:contextualSpacing/>
              <w:rPr>
                <w:rFonts w:ascii="Times New Roman" w:hAnsi="Times New Roman"/>
                <w:sz w:val="20"/>
                <w:szCs w:val="20"/>
              </w:rPr>
            </w:pPr>
            <w:r w:rsidRPr="002161FE">
              <w:rPr>
                <w:rFonts w:ascii="Times New Roman" w:hAnsi="Times New Roman"/>
                <w:sz w:val="20"/>
                <w:szCs w:val="20"/>
              </w:rPr>
              <w:t>FFS: Restriction on the range of Q.</w:t>
            </w:r>
          </w:p>
          <w:p w:rsidR="00CA4C4E" w:rsidRPr="002161FE" w:rsidRDefault="00CA4C4E" w:rsidP="00CA4C4E">
            <w:pPr>
              <w:pStyle w:val="Caption"/>
              <w:rPr>
                <w:rFonts w:ascii="Times New Roman" w:hAnsi="Times New Roman"/>
                <w:b w:val="0"/>
              </w:rPr>
            </w:pPr>
            <w:r w:rsidRPr="002161FE">
              <w:rPr>
                <w:rFonts w:ascii="Times New Roman" w:hAnsi="Times New Roman"/>
                <w:b w:val="0"/>
              </w:rPr>
              <w:t>Note: Neighbor cell RRM measurements will be addressed separately</w:t>
            </w:r>
          </w:p>
        </w:tc>
      </w:tr>
    </w:tbl>
    <w:p w:rsidR="002742F7" w:rsidRDefault="002742F7" w:rsidP="002742F7"/>
    <w:p w:rsidR="00C31288" w:rsidRDefault="001C0E5A" w:rsidP="002742F7">
      <w:r>
        <w:lastRenderedPageBreak/>
        <w:t xml:space="preserve">In NR R15, the detected SSB index can be used for both timing determination and QCL related information. For example, UE may assume the SSBs with the same SSB index in different SSB burst sets have the QCL relation and cross-burst-set combining is possible. The SSB index in NR R15 is also used to derive the RACH resources associated with this certain SSB. Besides, it is used to determine the search spaces for at least RMSI so that UE can obtain system information and conduct RACH. </w:t>
      </w:r>
    </w:p>
    <w:p w:rsidR="00072606" w:rsidRDefault="00C31288" w:rsidP="002742F7">
      <w:r>
        <w:t xml:space="preserve">In NR-U, since SSB indexing in NR FR2 is reused to indicate the SSB candidate position, it is bit confusing if we use the name of “SSB index” to infer the QCL information. We prefer to define </w:t>
      </w:r>
      <w:r w:rsidR="00DF6EC1">
        <w:t xml:space="preserve">the </w:t>
      </w:r>
      <w:r>
        <w:t>“beam index” as modulo</w:t>
      </w:r>
      <w:r w:rsidR="00DF6EC1">
        <w:t xml:space="preserve"> </w:t>
      </w:r>
      <w:r>
        <w:t xml:space="preserve">(A, Q) where A is further to be down-selected from candidate position index and/or PBCH sequence index. If A is the candidate position index, it means UE has to read PBCH of neighboring cells at least once per cell when doing RRM measurements if it is configured to report beam-level measurements in an asynchronous deployments. This increases the measurement overhead to UE and hence should be avoided. On the other hand, if the value of Q is one of {1, 2, 4, </w:t>
      </w:r>
      <w:r w:rsidR="00DF6EC1">
        <w:t xml:space="preserve">and </w:t>
      </w:r>
      <w:r>
        <w:t xml:space="preserve">8}, then the derivation of beam index can be simplified by using PBCH DMRS sequence index only. We hence propose that Q should be restricted to values from {1, 2, 4, </w:t>
      </w:r>
      <w:r w:rsidR="00DF6EC1">
        <w:t>and 8</w:t>
      </w:r>
      <w:r>
        <w:t xml:space="preserve">} to avoid to complicate the UE measurement procedure. </w:t>
      </w:r>
      <w:r w:rsidR="00743065">
        <w:t>For initial access, UE can determine the value of Q from PBCH reading. Once UE camps on the serving cell, the serving cell should signal the Q value to the UE via higher layer signaling for the UE to conduct measurements. As the serving cell may not have knowledge which cells are around the UE, it is unrealistic to ask the serving cell to provide the correct cell list and the Q values for all the cells in the cell list. And actually, in NR R15, smtc1 is carrier-specific rather than cell-specific. In other words, the configuration of smtc1 is applied to all cells on a carrier, not specifically to a cell. Hence, we further propose that Q should be carrier-specific that implies cells on a same carrier should have a same Q value.</w:t>
      </w:r>
    </w:p>
    <w:p w:rsidR="00DC1766" w:rsidRDefault="00DC1766" w:rsidP="00DC1766">
      <w:pPr>
        <w:pStyle w:val="Caption"/>
      </w:pPr>
      <w:bookmarkStart w:id="7" w:name="_Ref16919082"/>
      <w:r>
        <w:t xml:space="preserve">Observation </w:t>
      </w:r>
      <w:fldSimple w:instr=" SEQ Observation \* ARABIC ">
        <w:r w:rsidR="00D1449B">
          <w:rPr>
            <w:noProof/>
          </w:rPr>
          <w:t>1</w:t>
        </w:r>
      </w:fldSimple>
      <w:r>
        <w:t xml:space="preserve">: If </w:t>
      </w:r>
      <w:r w:rsidR="00743065">
        <w:t xml:space="preserve">the </w:t>
      </w:r>
      <w:r w:rsidR="00A40238">
        <w:t xml:space="preserve">derivation of the </w:t>
      </w:r>
      <w:r w:rsidR="00743065">
        <w:t>beam index</w:t>
      </w:r>
      <w:r w:rsidR="00A40238">
        <w:t xml:space="preserve"> relies on</w:t>
      </w:r>
      <w:r w:rsidR="004259D5">
        <w:t xml:space="preserve"> </w:t>
      </w:r>
      <w:r>
        <w:t>the SSB candidate position index, then</w:t>
      </w:r>
      <w:r w:rsidRPr="00743065">
        <w:t xml:space="preserve"> UE has to read PBCH </w:t>
      </w:r>
      <w:r w:rsidR="008C1AC0" w:rsidRPr="00743065">
        <w:t xml:space="preserve">of neighboring cells </w:t>
      </w:r>
      <w:r w:rsidRPr="00743065">
        <w:t>when doing RRM measurements for beam-level reporting in asynchronous deployments</w:t>
      </w:r>
      <w:r>
        <w:t>.</w:t>
      </w:r>
      <w:bookmarkEnd w:id="7"/>
      <w:r>
        <w:t xml:space="preserve"> </w:t>
      </w:r>
    </w:p>
    <w:p w:rsidR="00C31288" w:rsidRPr="00C31288" w:rsidRDefault="00C31288" w:rsidP="00C31288">
      <w:pPr>
        <w:pStyle w:val="Caption"/>
      </w:pPr>
      <w:bookmarkStart w:id="8" w:name="_Ref16919089"/>
      <w:r>
        <w:t xml:space="preserve">Observation </w:t>
      </w:r>
      <w:fldSimple w:instr=" SEQ Observation \* ARABIC ">
        <w:r w:rsidR="00D1449B">
          <w:rPr>
            <w:noProof/>
          </w:rPr>
          <w:t>2</w:t>
        </w:r>
      </w:fldSimple>
      <w:r>
        <w:t xml:space="preserve">: If the value of Q is one of {1, 2, 4, 8}, then the derivation of </w:t>
      </w:r>
      <w:r w:rsidR="00A40238">
        <w:t xml:space="preserve">the </w:t>
      </w:r>
      <w:r>
        <w:t>beam index can be simplified by using PBCH DMRS sequence index only.</w:t>
      </w:r>
      <w:bookmarkEnd w:id="8"/>
    </w:p>
    <w:p w:rsidR="00454AC3" w:rsidRPr="004204D3" w:rsidRDefault="008F5911" w:rsidP="004204D3">
      <w:pPr>
        <w:pStyle w:val="Caption"/>
      </w:pPr>
      <w:bookmarkStart w:id="9" w:name="_Ref16919241"/>
      <w:r>
        <w:t xml:space="preserve">Proposal </w:t>
      </w:r>
      <w:fldSimple w:instr=" SEQ Proposal \* ARABIC ">
        <w:r w:rsidR="00D1449B">
          <w:rPr>
            <w:noProof/>
          </w:rPr>
          <w:t>6</w:t>
        </w:r>
      </w:fldSimple>
      <w:r>
        <w:t xml:space="preserve">: </w:t>
      </w:r>
      <w:r w:rsidR="004204D3">
        <w:t xml:space="preserve">Define </w:t>
      </w:r>
      <w:r>
        <w:t>Q</w:t>
      </w:r>
      <w:r w:rsidR="004204D3">
        <w:t xml:space="preserve"> as </w:t>
      </w:r>
      <w:r w:rsidR="00A61871">
        <w:t>the number of actually transmitted SSBs</w:t>
      </w:r>
      <w:r w:rsidR="004204D3">
        <w:t xml:space="preserve"> and restrict its values to </w:t>
      </w:r>
      <w:r w:rsidR="00FF2CFC">
        <w:t>{</w:t>
      </w:r>
      <w:r w:rsidR="00454AC3">
        <w:t>1, 2, 4,</w:t>
      </w:r>
      <w:r w:rsidR="00FF2CFC">
        <w:t xml:space="preserve"> </w:t>
      </w:r>
      <w:r w:rsidR="00DF6EC1">
        <w:t>and 8</w:t>
      </w:r>
      <w:r w:rsidR="00FF2CFC">
        <w:t>}</w:t>
      </w:r>
      <w:r w:rsidR="004204D3">
        <w:t xml:space="preserve"> o</w:t>
      </w:r>
      <w:r w:rsidR="00743065">
        <w:t>r a subset of them.</w:t>
      </w:r>
      <w:bookmarkEnd w:id="9"/>
    </w:p>
    <w:p w:rsidR="00743065" w:rsidRDefault="003063AE" w:rsidP="003063AE">
      <w:pPr>
        <w:pStyle w:val="Caption"/>
      </w:pPr>
      <w:bookmarkStart w:id="10" w:name="_Ref16919247"/>
      <w:r>
        <w:t xml:space="preserve">Proposal </w:t>
      </w:r>
      <w:fldSimple w:instr=" SEQ Proposal \* ARABIC ">
        <w:r w:rsidR="00D1449B">
          <w:rPr>
            <w:noProof/>
          </w:rPr>
          <w:t>7</w:t>
        </w:r>
      </w:fldSimple>
      <w:r>
        <w:t xml:space="preserve">: </w:t>
      </w:r>
      <w:r w:rsidR="00285144">
        <w:t xml:space="preserve">For initial access, </w:t>
      </w:r>
      <w:r w:rsidR="00743065">
        <w:t xml:space="preserve">Q is </w:t>
      </w:r>
      <w:r w:rsidR="00285144">
        <w:t>carried</w:t>
      </w:r>
      <w:r w:rsidR="00743065">
        <w:t xml:space="preserve"> by PBCH.</w:t>
      </w:r>
      <w:bookmarkEnd w:id="10"/>
      <w:r w:rsidR="00743065">
        <w:t xml:space="preserve"> </w:t>
      </w:r>
    </w:p>
    <w:p w:rsidR="003063AE" w:rsidRDefault="00DC4ADC" w:rsidP="00DC4ADC">
      <w:pPr>
        <w:pStyle w:val="Caption"/>
      </w:pPr>
      <w:bookmarkStart w:id="11" w:name="_Ref16919257"/>
      <w:r>
        <w:t xml:space="preserve">Proposal </w:t>
      </w:r>
      <w:fldSimple w:instr=" SEQ Proposal \* ARABIC ">
        <w:r w:rsidR="00D1449B">
          <w:rPr>
            <w:noProof/>
          </w:rPr>
          <w:t>8</w:t>
        </w:r>
      </w:fldSimple>
      <w:r>
        <w:t xml:space="preserve">: </w:t>
      </w:r>
      <w:r w:rsidR="00795FA8">
        <w:t>For RRM measurements, Q is signaled t</w:t>
      </w:r>
      <w:r w:rsidR="00072606">
        <w:t>o UE via higher layers</w:t>
      </w:r>
      <w:r w:rsidR="00743065">
        <w:t>.</w:t>
      </w:r>
      <w:bookmarkEnd w:id="11"/>
      <w:r w:rsidR="00FF2CFC">
        <w:t xml:space="preserve">  </w:t>
      </w:r>
      <w:r w:rsidR="00795FA8">
        <w:t xml:space="preserve"> </w:t>
      </w:r>
    </w:p>
    <w:p w:rsidR="003063AE" w:rsidRDefault="003063AE" w:rsidP="00176EA5">
      <w:pPr>
        <w:pStyle w:val="Caption"/>
      </w:pPr>
      <w:bookmarkStart w:id="12" w:name="_Ref16919263"/>
      <w:r w:rsidRPr="00114D51">
        <w:t xml:space="preserve">Proposal </w:t>
      </w:r>
      <w:fldSimple w:instr=" SEQ Proposal \* ARABIC ">
        <w:r w:rsidR="00D1449B">
          <w:rPr>
            <w:noProof/>
          </w:rPr>
          <w:t>9</w:t>
        </w:r>
      </w:fldSimple>
      <w:r w:rsidRPr="00114D51">
        <w:t xml:space="preserve">: Q is carrier specific, i.e. </w:t>
      </w:r>
      <w:r w:rsidR="00F35D85" w:rsidRPr="00114D51">
        <w:t xml:space="preserve">a </w:t>
      </w:r>
      <w:r w:rsidRPr="00114D51">
        <w:t>same Q value for cells on a same carrier.</w:t>
      </w:r>
      <w:bookmarkEnd w:id="12"/>
      <w:r w:rsidRPr="00114D51">
        <w:t xml:space="preserve"> </w:t>
      </w:r>
    </w:p>
    <w:p w:rsidR="004A1E3C" w:rsidRPr="004A1E3C" w:rsidRDefault="004A1E3C" w:rsidP="004A1E3C"/>
    <w:p w:rsidR="00DE4EE3" w:rsidRDefault="005A68DC" w:rsidP="003063AE">
      <w:pPr>
        <w:pStyle w:val="Heading1"/>
        <w:rPr>
          <w:lang w:eastAsia="zh-CN"/>
        </w:rPr>
      </w:pPr>
      <w:r>
        <w:rPr>
          <w:lang w:eastAsia="zh-CN"/>
        </w:rPr>
        <w:t>Type0-</w:t>
      </w:r>
      <w:r w:rsidR="00951416">
        <w:rPr>
          <w:lang w:eastAsia="zh-CN"/>
        </w:rPr>
        <w:t>PDCCH Monitoring</w:t>
      </w:r>
      <w:r w:rsidR="00DD746C">
        <w:rPr>
          <w:lang w:eastAsia="zh-CN"/>
        </w:rPr>
        <w:t xml:space="preserve"> </w:t>
      </w:r>
    </w:p>
    <w:p w:rsidR="00E83327" w:rsidRPr="00E83327" w:rsidRDefault="00E05261" w:rsidP="00E83327">
      <w:pPr>
        <w:rPr>
          <w:lang w:val="en-GB" w:eastAsia="zh-CN"/>
        </w:rPr>
      </w:pPr>
      <w:r>
        <w:rPr>
          <w:lang w:val="en-GB" w:eastAsia="zh-CN"/>
        </w:rPr>
        <w:t xml:space="preserve">The following agreements have been made about Type0-PDCCH </w:t>
      </w:r>
      <w:r w:rsidR="005516BA">
        <w:rPr>
          <w:lang w:val="en-GB" w:eastAsia="zh-CN"/>
        </w:rPr>
        <w:t>monitoring</w:t>
      </w:r>
      <w:r>
        <w:rPr>
          <w:lang w:val="en-GB" w:eastAsia="zh-CN"/>
        </w:rPr>
        <w:t xml:space="preserve">. </w:t>
      </w:r>
    </w:p>
    <w:tbl>
      <w:tblPr>
        <w:tblStyle w:val="TableGrid"/>
        <w:tblW w:w="0" w:type="auto"/>
        <w:tblLook w:val="04A0" w:firstRow="1" w:lastRow="0" w:firstColumn="1" w:lastColumn="0" w:noHBand="0" w:noVBand="1"/>
      </w:tblPr>
      <w:tblGrid>
        <w:gridCol w:w="9631"/>
      </w:tblGrid>
      <w:tr w:rsidR="002819E0" w:rsidRPr="002C3037" w:rsidTr="002819E0">
        <w:tc>
          <w:tcPr>
            <w:tcW w:w="9631" w:type="dxa"/>
          </w:tcPr>
          <w:p w:rsidR="002819E0" w:rsidRPr="002C3037" w:rsidRDefault="002819E0" w:rsidP="002819E0">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(Ad-hoc 1901)</w:t>
            </w:r>
          </w:p>
          <w:p w:rsidR="002819E0" w:rsidRPr="002C3037" w:rsidRDefault="002819E0" w:rsidP="002819E0">
            <w:pPr>
              <w:rPr>
                <w:rFonts w:ascii="Times New Roman" w:hAnsi="Times New Roman"/>
                <w:lang w:eastAsia="x-none"/>
              </w:rPr>
            </w:pPr>
            <w:r w:rsidRPr="002C3037">
              <w:rPr>
                <w:rFonts w:ascii="Times New Roman" w:hAnsi="Times New Roman"/>
                <w:lang w:eastAsia="x-none"/>
              </w:rPr>
              <w:t>The Type0-PDCCH monitoring configuration for NR-U should satisfy at least the following properties:</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TDM of Type0-PDCCH and SSB similar to existing pattern 1 (already agreed)</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Support the monitoring of Type0 PDCCH of the 2</w:t>
            </w:r>
            <w:r w:rsidRPr="002C3037">
              <w:rPr>
                <w:rFonts w:ascii="Times New Roman" w:hAnsi="Times New Roman"/>
                <w:vertAlign w:val="superscript"/>
                <w:lang w:eastAsia="x-none"/>
              </w:rPr>
              <w:t>nd</w:t>
            </w:r>
            <w:r w:rsidRPr="002C3037">
              <w:rPr>
                <w:rFonts w:ascii="Times New Roman" w:hAnsi="Times New Roman"/>
                <w:lang w:eastAsia="x-none"/>
              </w:rPr>
              <w:t xml:space="preserve"> SSB position in a slot in the gap between 1</w:t>
            </w:r>
            <w:r w:rsidRPr="002C3037">
              <w:rPr>
                <w:rFonts w:ascii="Times New Roman" w:hAnsi="Times New Roman"/>
                <w:vertAlign w:val="superscript"/>
                <w:lang w:eastAsia="x-none"/>
              </w:rPr>
              <w:t>st</w:t>
            </w:r>
            <w:r w:rsidRPr="002C3037">
              <w:rPr>
                <w:rFonts w:ascii="Times New Roman" w:hAnsi="Times New Roman"/>
                <w:lang w:eastAsia="x-none"/>
              </w:rPr>
              <w:t xml:space="preserve"> and 2</w:t>
            </w:r>
            <w:r w:rsidRPr="002C3037">
              <w:rPr>
                <w:rFonts w:ascii="Times New Roman" w:hAnsi="Times New Roman"/>
                <w:vertAlign w:val="superscript"/>
                <w:lang w:eastAsia="x-none"/>
              </w:rPr>
              <w:t>nd</w:t>
            </w:r>
            <w:r w:rsidRPr="002C3037">
              <w:rPr>
                <w:rFonts w:ascii="Times New Roman" w:hAnsi="Times New Roman"/>
                <w:lang w:eastAsia="x-none"/>
              </w:rPr>
              <w:t xml:space="preserve"> SSB within the slot</w:t>
            </w:r>
          </w:p>
          <w:p w:rsidR="002819E0" w:rsidRPr="002C3037" w:rsidRDefault="002819E0" w:rsidP="002819E0">
            <w:pPr>
              <w:numPr>
                <w:ilvl w:val="1"/>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start at symbol #6 of #7 or both</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The Type0-PDCCH candidates associated with an SSB are confined within a slot carrying the associated SSB (with the same QCL assumptions)</w:t>
            </w:r>
          </w:p>
        </w:tc>
      </w:tr>
    </w:tbl>
    <w:p w:rsidR="002819E0" w:rsidRDefault="002819E0" w:rsidP="002819E0">
      <w:pPr>
        <w:rPr>
          <w:lang w:val="en-GB" w:eastAsia="zh-CN"/>
        </w:rPr>
      </w:pPr>
    </w:p>
    <w:tbl>
      <w:tblPr>
        <w:tblStyle w:val="TableGrid"/>
        <w:tblW w:w="0" w:type="auto"/>
        <w:tblLook w:val="04A0" w:firstRow="1" w:lastRow="0" w:firstColumn="1" w:lastColumn="0" w:noHBand="0" w:noVBand="1"/>
      </w:tblPr>
      <w:tblGrid>
        <w:gridCol w:w="9631"/>
      </w:tblGrid>
      <w:tr w:rsidR="00242867" w:rsidRPr="002C3037" w:rsidTr="006624BD">
        <w:trPr>
          <w:trHeight w:val="1237"/>
        </w:trPr>
        <w:tc>
          <w:tcPr>
            <w:tcW w:w="9631" w:type="dxa"/>
          </w:tcPr>
          <w:p w:rsidR="00242867" w:rsidRPr="002C3037" w:rsidRDefault="00242867" w:rsidP="00242867">
            <w:pPr>
              <w:rPr>
                <w:rFonts w:ascii="Times New Roman" w:hAnsi="Times New Roman"/>
                <w:lang w:eastAsia="x-none"/>
              </w:rPr>
            </w:pPr>
            <w:r w:rsidRPr="002C3037">
              <w:rPr>
                <w:rFonts w:ascii="Times New Roman" w:hAnsi="Times New Roman"/>
                <w:highlight w:val="green"/>
                <w:lang w:eastAsia="x-none"/>
              </w:rPr>
              <w:t>Agreement:</w:t>
            </w:r>
            <w:r w:rsidR="00FE7F2A" w:rsidRPr="002C3037">
              <w:rPr>
                <w:rFonts w:ascii="Times New Roman" w:hAnsi="Times New Roman"/>
                <w:lang w:eastAsia="x-none"/>
              </w:rPr>
              <w:t xml:space="preserve"> (RAN1 #96)</w:t>
            </w:r>
          </w:p>
          <w:p w:rsidR="00242867" w:rsidRPr="002C3037" w:rsidRDefault="00242867" w:rsidP="00242867">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 xml:space="preserve">The SCS for all SSBs and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on a carrier is always the same for operation of NR in unlicensed spectrum.</w:t>
            </w:r>
          </w:p>
          <w:p w:rsidR="00242867" w:rsidRPr="002C3037" w:rsidRDefault="00242867"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CORESET #0 frequency domain resource configuration should be 48 RBs for 30KHz SCS and 96 RBs for 15KHz SCS.</w:t>
            </w:r>
          </w:p>
        </w:tc>
      </w:tr>
    </w:tbl>
    <w:p w:rsidR="00242867" w:rsidRPr="002819E0" w:rsidRDefault="00242867" w:rsidP="002819E0">
      <w:pPr>
        <w:rPr>
          <w:lang w:val="en-GB" w:eastAsia="zh-CN"/>
        </w:rPr>
      </w:pPr>
    </w:p>
    <w:tbl>
      <w:tblPr>
        <w:tblStyle w:val="TableGrid"/>
        <w:tblW w:w="0" w:type="auto"/>
        <w:tblLook w:val="04A0" w:firstRow="1" w:lastRow="0" w:firstColumn="1" w:lastColumn="0" w:noHBand="0" w:noVBand="1"/>
      </w:tblPr>
      <w:tblGrid>
        <w:gridCol w:w="9631"/>
      </w:tblGrid>
      <w:tr w:rsidR="00281F96" w:rsidRPr="002C3037" w:rsidTr="00281F96">
        <w:tc>
          <w:tcPr>
            <w:tcW w:w="9631" w:type="dxa"/>
          </w:tcPr>
          <w:p w:rsidR="00281F96" w:rsidRPr="002C3037" w:rsidRDefault="00281F96" w:rsidP="00281F96">
            <w:pPr>
              <w:rPr>
                <w:rFonts w:ascii="Times New Roman" w:hAnsi="Times New Roman"/>
                <w:lang w:eastAsia="x-none"/>
              </w:rPr>
            </w:pPr>
            <w:r w:rsidRPr="002C3037">
              <w:rPr>
                <w:rFonts w:ascii="Times New Roman" w:hAnsi="Times New Roman"/>
                <w:highlight w:val="green"/>
                <w:lang w:eastAsia="x-none"/>
              </w:rPr>
              <w:lastRenderedPageBreak/>
              <w:t>Agreement:</w:t>
            </w:r>
          </w:p>
          <w:p w:rsidR="00281F96" w:rsidRPr="002C3037" w:rsidRDefault="00281F96" w:rsidP="00BA23E7">
            <w:pPr>
              <w:rPr>
                <w:rFonts w:ascii="Times New Roman" w:hAnsi="Times New Roman"/>
                <w:lang w:eastAsia="x-none"/>
              </w:rPr>
            </w:pPr>
            <w:r w:rsidRPr="002C3037">
              <w:rPr>
                <w:rFonts w:ascii="Times New Roman" w:hAnsi="Times New Roman"/>
                <w:lang w:eastAsia="x-none"/>
              </w:rPr>
              <w:t xml:space="preserve">Only </w:t>
            </w:r>
            <w:proofErr w:type="spellStart"/>
            <w:r w:rsidR="006A6456" w:rsidRPr="002C3037">
              <w:rPr>
                <w:rFonts w:ascii="Times New Roman" w:hAnsi="Times New Roman"/>
                <w:lang w:eastAsia="x-none"/>
              </w:rPr>
              <w:t>C</w:t>
            </w:r>
            <w:r w:rsidRPr="002C3037">
              <w:rPr>
                <w:rFonts w:ascii="Times New Roman" w:hAnsi="Times New Roman"/>
                <w:lang w:eastAsia="x-none"/>
              </w:rPr>
              <w:t>oreset</w:t>
            </w:r>
            <w:proofErr w:type="spellEnd"/>
            <w:r w:rsidRPr="002C3037">
              <w:rPr>
                <w:rFonts w:ascii="Times New Roman" w:hAnsi="Times New Roman"/>
                <w:lang w:eastAsia="x-none"/>
              </w:rPr>
              <w:t xml:space="preserve"> #0 lengths of 1 and 2 symbols are supported for NR-U</w:t>
            </w:r>
          </w:p>
        </w:tc>
      </w:tr>
    </w:tbl>
    <w:p w:rsidR="00B8164C" w:rsidRDefault="00B8164C" w:rsidP="00731554">
      <w:pPr>
        <w:pStyle w:val="Caption"/>
        <w:rPr>
          <w:b w:val="0"/>
        </w:rPr>
      </w:pPr>
      <w:r>
        <w:rPr>
          <w:b w:val="0"/>
        </w:rPr>
        <w:t xml:space="preserve">In NR R15, CORESET and search space configurations for Type0-PDCCH can be configurable and indicated by PBCH. </w:t>
      </w:r>
      <w:r w:rsidR="00D64D7E">
        <w:rPr>
          <w:b w:val="0"/>
        </w:rPr>
        <w:t xml:space="preserve">In NR-U, we think a similar mechanism should be supported for Type0-PDCCH configuration. </w:t>
      </w:r>
    </w:p>
    <w:p w:rsidR="00D64D7E" w:rsidRPr="00D64D7E" w:rsidRDefault="00F8641A" w:rsidP="00F8641A">
      <w:pPr>
        <w:pStyle w:val="Caption"/>
      </w:pPr>
      <w:bookmarkStart w:id="13" w:name="_Ref4680467"/>
      <w:bookmarkStart w:id="14" w:name="_Ref7697542"/>
      <w:r>
        <w:t xml:space="preserve">Proposal </w:t>
      </w:r>
      <w:fldSimple w:instr=" SEQ Proposal \* ARABIC ">
        <w:r w:rsidR="00D1449B">
          <w:rPr>
            <w:noProof/>
          </w:rPr>
          <w:t>10</w:t>
        </w:r>
      </w:fldSimple>
      <w:r>
        <w:t>: Similar to NR, NR-U supports that both CORESET and search space configurations for Type-0 PDCCH to be carried by PBCH</w:t>
      </w:r>
      <w:bookmarkEnd w:id="13"/>
      <w:r>
        <w:t>.</w:t>
      </w:r>
      <w:bookmarkEnd w:id="14"/>
    </w:p>
    <w:p w:rsidR="00237A96" w:rsidRPr="002E21A3" w:rsidRDefault="002E21A3" w:rsidP="00731554">
      <w:pPr>
        <w:pStyle w:val="Caption"/>
        <w:rPr>
          <w:b w:val="0"/>
        </w:rPr>
      </w:pPr>
      <w:r>
        <w:rPr>
          <w:b w:val="0"/>
        </w:rPr>
        <w:t xml:space="preserve">The CORESET configuration for Type0-PDCCH is closely dependent on the placement of sync raster in a channel which is under discussion in RAN4. </w:t>
      </w:r>
      <w:r w:rsidR="00532A51">
        <w:rPr>
          <w:b w:val="0"/>
        </w:rPr>
        <w:t xml:space="preserve">However, if RAN4 decides only one sync raster is needed in a 20MHz channel, we have the following proposal. </w:t>
      </w:r>
    </w:p>
    <w:p w:rsidR="004B0C8C" w:rsidRDefault="00D802DE" w:rsidP="00D802DE">
      <w:pPr>
        <w:pStyle w:val="Caption"/>
      </w:pPr>
      <w:bookmarkStart w:id="15" w:name="_Ref16919274"/>
      <w:r>
        <w:t xml:space="preserve">Proposal </w:t>
      </w:r>
      <w:fldSimple w:instr=" SEQ Proposal \* ARABIC ">
        <w:r w:rsidR="00D1449B">
          <w:rPr>
            <w:noProof/>
          </w:rPr>
          <w:t>11</w:t>
        </w:r>
      </w:fldSimple>
      <w:r>
        <w:t xml:space="preserve">: </w:t>
      </w:r>
      <w:r w:rsidRPr="0018214F">
        <w:rPr>
          <w:color w:val="000000" w:themeColor="text1"/>
        </w:rPr>
        <w:t xml:space="preserve">For </w:t>
      </w:r>
      <w:r w:rsidR="00E24DBB" w:rsidRPr="0018214F">
        <w:rPr>
          <w:color w:val="000000" w:themeColor="text1"/>
        </w:rPr>
        <w:t>Type0-PDCCH CORESET configuration</w:t>
      </w:r>
      <w:r w:rsidR="00745BDC" w:rsidRPr="0018214F">
        <w:rPr>
          <w:color w:val="000000" w:themeColor="text1"/>
        </w:rPr>
        <w:t xml:space="preserve">, </w:t>
      </w:r>
      <w:r w:rsidR="00511F90" w:rsidRPr="0018214F">
        <w:rPr>
          <w:color w:val="000000" w:themeColor="text1"/>
        </w:rPr>
        <w:t xml:space="preserve">down-select one of the following values for the offset between CORESET#0 and SSB by </w:t>
      </w:r>
      <w:r w:rsidR="00103EA1" w:rsidRPr="0018214F">
        <w:rPr>
          <w:color w:val="000000" w:themeColor="text1"/>
        </w:rPr>
        <w:t>considering</w:t>
      </w:r>
      <w:r w:rsidR="00CA234F" w:rsidRPr="0018214F">
        <w:rPr>
          <w:color w:val="000000" w:themeColor="text1"/>
        </w:rPr>
        <w:t xml:space="preserve"> RAN4’</w:t>
      </w:r>
      <w:r w:rsidR="00511F90" w:rsidRPr="0018214F">
        <w:rPr>
          <w:color w:val="000000" w:themeColor="text1"/>
        </w:rPr>
        <w:t>s decision on sync raste</w:t>
      </w:r>
      <w:r w:rsidR="00103EA1" w:rsidRPr="0018214F">
        <w:rPr>
          <w:color w:val="000000" w:themeColor="text1"/>
        </w:rPr>
        <w:t>r</w:t>
      </w:r>
      <w:r w:rsidR="00511F90" w:rsidRPr="0018214F">
        <w:rPr>
          <w:color w:val="000000" w:themeColor="text1"/>
        </w:rPr>
        <w:t>.</w:t>
      </w:r>
      <w:bookmarkEnd w:id="15"/>
      <w:r w:rsidR="00CA234F" w:rsidRPr="0018214F">
        <w:rPr>
          <w:color w:val="000000" w:themeColor="text1"/>
        </w:rPr>
        <w:t xml:space="preserve"> </w:t>
      </w:r>
    </w:p>
    <w:p w:rsidR="00511F90" w:rsidRPr="00CD6AAD" w:rsidRDefault="002D7FB4" w:rsidP="00511F90">
      <w:pPr>
        <w:pStyle w:val="ListParagraph"/>
        <w:numPr>
          <w:ilvl w:val="0"/>
          <w:numId w:val="33"/>
        </w:numPr>
        <w:ind w:firstLineChars="0"/>
        <w:rPr>
          <w:b/>
          <w:sz w:val="20"/>
          <w:szCs w:val="20"/>
        </w:rPr>
      </w:pPr>
      <w:r w:rsidRPr="00CD6AAD">
        <w:rPr>
          <w:b/>
          <w:sz w:val="20"/>
          <w:szCs w:val="20"/>
        </w:rPr>
        <w:t xml:space="preserve">For SCS=15kHz, </w:t>
      </w:r>
      <w:r w:rsidR="00511F90" w:rsidRPr="00CD6AAD">
        <w:rPr>
          <w:b/>
          <w:sz w:val="20"/>
          <w:szCs w:val="20"/>
        </w:rPr>
        <w:t>{38, 0, 76}</w:t>
      </w:r>
      <w:r w:rsidR="004B10BA" w:rsidRPr="00CD6AAD">
        <w:rPr>
          <w:b/>
          <w:sz w:val="20"/>
          <w:szCs w:val="20"/>
        </w:rPr>
        <w:t xml:space="preserve"> PRBs</w:t>
      </w:r>
    </w:p>
    <w:p w:rsidR="00511F90" w:rsidRPr="00CD6AAD" w:rsidRDefault="00511F90" w:rsidP="00511F90">
      <w:pPr>
        <w:pStyle w:val="ListParagraph"/>
        <w:numPr>
          <w:ilvl w:val="0"/>
          <w:numId w:val="33"/>
        </w:numPr>
        <w:ind w:firstLineChars="0"/>
        <w:rPr>
          <w:b/>
          <w:sz w:val="20"/>
          <w:szCs w:val="20"/>
        </w:rPr>
      </w:pPr>
      <w:r w:rsidRPr="00CD6AAD">
        <w:rPr>
          <w:b/>
          <w:sz w:val="20"/>
          <w:szCs w:val="20"/>
        </w:rPr>
        <w:t>For SCS=30kHz, {14, 0, 28}</w:t>
      </w:r>
      <w:r w:rsidR="004B10BA" w:rsidRPr="00CD6AAD">
        <w:rPr>
          <w:b/>
          <w:sz w:val="20"/>
          <w:szCs w:val="20"/>
        </w:rPr>
        <w:t xml:space="preserve"> PRBs</w:t>
      </w:r>
    </w:p>
    <w:p w:rsidR="006624BD" w:rsidRPr="00CD6AAD" w:rsidRDefault="006624BD" w:rsidP="00F92BD7">
      <w:pPr>
        <w:rPr>
          <w:b/>
        </w:rPr>
      </w:pPr>
    </w:p>
    <w:p w:rsidR="006624BD" w:rsidRDefault="006F5DC9" w:rsidP="00F653D2">
      <w:r>
        <w:t xml:space="preserve">As to the search space configuration for Type0-PDCCH, </w:t>
      </w:r>
      <w:r w:rsidR="00F24C6A">
        <w:t xml:space="preserve">we propose to use </w:t>
      </w:r>
      <w:r w:rsidR="007F3D29">
        <w:t xml:space="preserve">the parameter values in </w:t>
      </w:r>
      <w:r w:rsidR="007F3D29">
        <w:fldChar w:fldCharType="begin"/>
      </w:r>
      <w:r w:rsidR="007F3D29">
        <w:instrText xml:space="preserve"> REF _Ref16883488 \h </w:instrText>
      </w:r>
      <w:r w:rsidR="007F3D29">
        <w:fldChar w:fldCharType="separate"/>
      </w:r>
      <w:r w:rsidR="00D1449B">
        <w:t xml:space="preserve">Table </w:t>
      </w:r>
      <w:r w:rsidR="00D1449B">
        <w:rPr>
          <w:noProof/>
        </w:rPr>
        <w:t>1</w:t>
      </w:r>
      <w:r w:rsidR="007F3D29">
        <w:fldChar w:fldCharType="end"/>
      </w:r>
      <w:r w:rsidR="007F3D29">
        <w:t xml:space="preserve"> for NR-U.</w:t>
      </w:r>
      <w:bookmarkStart w:id="16" w:name="_Ref16659910"/>
    </w:p>
    <w:p w:rsidR="00774C5B" w:rsidRDefault="002C3037" w:rsidP="002C3037">
      <w:pPr>
        <w:pStyle w:val="Caption"/>
      </w:pPr>
      <w:bookmarkStart w:id="17" w:name="_Ref16919280"/>
      <w:r>
        <w:t xml:space="preserve">Proposal </w:t>
      </w:r>
      <w:fldSimple w:instr=" SEQ Proposal \* ARABIC ">
        <w:r w:rsidR="00D1449B">
          <w:rPr>
            <w:noProof/>
          </w:rPr>
          <w:t>12</w:t>
        </w:r>
      </w:fldSimple>
      <w:bookmarkEnd w:id="16"/>
      <w:r w:rsidR="007F3D29">
        <w:t xml:space="preserve">: Support </w:t>
      </w:r>
      <w:r w:rsidR="007F3D29">
        <w:fldChar w:fldCharType="begin"/>
      </w:r>
      <w:r w:rsidR="007F3D29">
        <w:instrText xml:space="preserve"> REF _Ref16883488 \h </w:instrText>
      </w:r>
      <w:r w:rsidR="007F3D29">
        <w:fldChar w:fldCharType="separate"/>
      </w:r>
      <w:r w:rsidR="00D1449B">
        <w:t xml:space="preserve">Table </w:t>
      </w:r>
      <w:r w:rsidR="00D1449B">
        <w:rPr>
          <w:noProof/>
        </w:rPr>
        <w:t>1</w:t>
      </w:r>
      <w:r w:rsidR="007F3D29">
        <w:fldChar w:fldCharType="end"/>
      </w:r>
      <w:r>
        <w:t xml:space="preserve"> for search configuration for NR-U in FR1.</w:t>
      </w:r>
      <w:bookmarkEnd w:id="17"/>
      <w:r>
        <w:t xml:space="preserve"> </w:t>
      </w:r>
    </w:p>
    <w:p w:rsidR="00774C5B" w:rsidRPr="00632AAB" w:rsidRDefault="00F24C6A" w:rsidP="00F24C6A">
      <w:pPr>
        <w:pStyle w:val="Caption"/>
      </w:pPr>
      <w:bookmarkStart w:id="18" w:name="_Ref16883488"/>
      <w:r>
        <w:t xml:space="preserve">Table </w:t>
      </w:r>
      <w:fldSimple w:instr=" SEQ Table \* ARABIC ">
        <w:r w:rsidR="00D1449B">
          <w:rPr>
            <w:noProof/>
          </w:rPr>
          <w:t>1</w:t>
        </w:r>
      </w:fldSimple>
      <w:bookmarkEnd w:id="18"/>
      <w:r>
        <w:t xml:space="preserve">: </w:t>
      </w:r>
      <w:r w:rsidR="00632AAB" w:rsidRPr="00B916EC">
        <w:t xml:space="preserve">Parameters for PDCCH monitoring occasions for Type0-PDCCH </w:t>
      </w:r>
      <w:r w:rsidR="00632AAB">
        <w:t>CSS set</w:t>
      </w:r>
      <w:r w:rsidR="00632AAB" w:rsidRPr="00B916EC">
        <w:t xml:space="preserve"> - SS/PBCH block and </w:t>
      </w:r>
      <w:r w:rsidR="00632AAB">
        <w:t>CORESET</w:t>
      </w:r>
      <w:r w:rsidR="00632AAB" w:rsidRPr="00B916EC">
        <w:t xml:space="preserve"> multiplexing </w:t>
      </w:r>
      <w:r w:rsidR="00632AAB">
        <w:t>pattern</w:t>
      </w:r>
      <w:r w:rsidR="00632AAB" w:rsidRPr="00B916EC">
        <w:t xml:space="preserve"> 1 and </w:t>
      </w:r>
      <w:r w:rsidR="00632AAB">
        <w:t>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87"/>
        <w:gridCol w:w="3319"/>
        <w:gridCol w:w="903"/>
        <w:gridCol w:w="3419"/>
      </w:tblGrid>
      <w:tr w:rsidR="004C050E" w:rsidRPr="00B916EC" w:rsidTr="00700692">
        <w:trPr>
          <w:cantSplit/>
        </w:trPr>
        <w:tc>
          <w:tcPr>
            <w:tcW w:w="805" w:type="dxa"/>
            <w:tcBorders>
              <w:bottom w:val="double" w:sz="4" w:space="0" w:color="auto"/>
              <w:right w:val="double" w:sz="4" w:space="0" w:color="auto"/>
            </w:tcBorders>
            <w:shd w:val="clear" w:color="auto" w:fill="E0E0E0"/>
            <w:vAlign w:val="center"/>
          </w:tcPr>
          <w:p w:rsidR="004C050E" w:rsidRPr="00B916EC" w:rsidRDefault="004C050E" w:rsidP="00525351">
            <w:pPr>
              <w:pStyle w:val="TAH"/>
              <w:rPr>
                <w:bCs/>
                <w:lang w:val="en-US"/>
              </w:rPr>
            </w:pPr>
            <w:r w:rsidRPr="00B916EC">
              <w:rPr>
                <w:bCs/>
                <w:lang w:val="en-US"/>
              </w:rPr>
              <w:t>Index</w:t>
            </w:r>
          </w:p>
        </w:tc>
        <w:tc>
          <w:tcPr>
            <w:tcW w:w="987" w:type="dxa"/>
            <w:tcBorders>
              <w:left w:val="double" w:sz="4" w:space="0" w:color="auto"/>
              <w:bottom w:val="double" w:sz="4" w:space="0" w:color="auto"/>
            </w:tcBorders>
            <w:shd w:val="clear" w:color="auto" w:fill="E0E0E0"/>
            <w:vAlign w:val="center"/>
          </w:tcPr>
          <w:p w:rsidR="004C050E" w:rsidRPr="00B916EC" w:rsidRDefault="004C050E" w:rsidP="00525351">
            <w:pPr>
              <w:pStyle w:val="TAH"/>
              <w:rPr>
                <w:bCs/>
                <w:lang w:val="en-US"/>
              </w:rPr>
            </w:pPr>
            <w:r w:rsidRPr="00B916EC">
              <w:rPr>
                <w:position w:val="-6"/>
              </w:rPr>
              <w:object w:dxaOrig="220" w:dyaOrig="240">
                <v:shape id="_x0000_i1029" type="#_x0000_t75" style="width:14.15pt;height:14.15pt" o:ole="">
                  <v:imagedata r:id="rId16" o:title=""/>
                </v:shape>
                <o:OLEObject Type="Embed" ProgID="Equation.3" ShapeID="_x0000_i1029" DrawAspect="Content" ObjectID="_1627535467" r:id="rId17"/>
              </w:object>
            </w:r>
          </w:p>
        </w:tc>
        <w:tc>
          <w:tcPr>
            <w:tcW w:w="3319" w:type="dxa"/>
            <w:tcBorders>
              <w:bottom w:val="double" w:sz="4" w:space="0" w:color="auto"/>
            </w:tcBorders>
            <w:shd w:val="clear" w:color="auto" w:fill="E0E0E0"/>
            <w:vAlign w:val="center"/>
          </w:tcPr>
          <w:p w:rsidR="004C050E" w:rsidRPr="004C050E" w:rsidRDefault="004C050E" w:rsidP="00525351">
            <w:pPr>
              <w:pStyle w:val="TAH"/>
              <w:rPr>
                <w:bCs/>
                <w:lang w:val="en-US"/>
              </w:rPr>
            </w:pPr>
            <w:r w:rsidRPr="004C050E">
              <w:rPr>
                <w:rStyle w:val="CommentReference"/>
                <w:rFonts w:cs="Arial"/>
                <w:szCs w:val="18"/>
              </w:rPr>
              <w:t>Number of search space sets per slot</w:t>
            </w:r>
          </w:p>
        </w:tc>
        <w:tc>
          <w:tcPr>
            <w:tcW w:w="903" w:type="dxa"/>
            <w:tcBorders>
              <w:bottom w:val="double" w:sz="4" w:space="0" w:color="auto"/>
            </w:tcBorders>
            <w:shd w:val="clear" w:color="auto" w:fill="E0E0E0"/>
            <w:vAlign w:val="center"/>
          </w:tcPr>
          <w:p w:rsidR="004C050E" w:rsidRPr="004C050E" w:rsidRDefault="004C050E" w:rsidP="00525351">
            <w:pPr>
              <w:pStyle w:val="TAH"/>
              <w:rPr>
                <w:bCs/>
                <w:lang w:val="en-US"/>
              </w:rPr>
            </w:pPr>
            <w:r w:rsidRPr="004C050E">
              <w:rPr>
                <w:position w:val="-4"/>
              </w:rPr>
              <w:object w:dxaOrig="279" w:dyaOrig="220">
                <v:shape id="_x0000_i1030" type="#_x0000_t75" style="width:14.15pt;height:12.5pt" o:ole="">
                  <v:imagedata r:id="rId18" o:title=""/>
                </v:shape>
                <o:OLEObject Type="Embed" ProgID="Equation.3" ShapeID="_x0000_i1030" DrawAspect="Content" ObjectID="_1627535468" r:id="rId19"/>
              </w:object>
            </w:r>
          </w:p>
        </w:tc>
        <w:tc>
          <w:tcPr>
            <w:tcW w:w="3419" w:type="dxa"/>
            <w:tcBorders>
              <w:bottom w:val="double" w:sz="4" w:space="0" w:color="auto"/>
            </w:tcBorders>
            <w:shd w:val="clear" w:color="auto" w:fill="E0E0E0"/>
            <w:vAlign w:val="center"/>
          </w:tcPr>
          <w:p w:rsidR="004C050E" w:rsidRPr="00B916EC" w:rsidRDefault="004C050E" w:rsidP="00525351">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4C050E" w:rsidRPr="00B916EC" w:rsidTr="00700692">
        <w:trPr>
          <w:cantSplit/>
        </w:trPr>
        <w:tc>
          <w:tcPr>
            <w:tcW w:w="805" w:type="dxa"/>
            <w:tcBorders>
              <w:top w:val="double" w:sz="4" w:space="0" w:color="auto"/>
              <w:right w:val="double" w:sz="4" w:space="0" w:color="auto"/>
            </w:tcBorders>
            <w:shd w:val="clear" w:color="auto" w:fill="auto"/>
            <w:vAlign w:val="center"/>
          </w:tcPr>
          <w:p w:rsidR="004C050E" w:rsidRPr="00B916EC" w:rsidRDefault="004C050E" w:rsidP="00525351">
            <w:pPr>
              <w:pStyle w:val="TAC"/>
              <w:rPr>
                <w:lang w:val="en-US"/>
              </w:rPr>
            </w:pPr>
            <w:r w:rsidRPr="00B916EC">
              <w:rPr>
                <w:lang w:val="en-US"/>
              </w:rPr>
              <w:t>0</w:t>
            </w:r>
          </w:p>
        </w:tc>
        <w:tc>
          <w:tcPr>
            <w:tcW w:w="987" w:type="dxa"/>
            <w:tcBorders>
              <w:top w:val="double" w:sz="4" w:space="0" w:color="auto"/>
              <w:left w:val="double" w:sz="4" w:space="0" w:color="auto"/>
            </w:tcBorders>
            <w:vAlign w:val="center"/>
          </w:tcPr>
          <w:p w:rsidR="004C050E" w:rsidRPr="00B916EC" w:rsidRDefault="004C050E" w:rsidP="00525351">
            <w:pPr>
              <w:pStyle w:val="TAC"/>
              <w:rPr>
                <w:lang w:val="en-US"/>
              </w:rPr>
            </w:pPr>
            <w:r w:rsidRPr="00B916EC">
              <w:rPr>
                <w:rStyle w:val="CommentReference"/>
                <w:rFonts w:cs="Arial"/>
                <w:szCs w:val="18"/>
              </w:rPr>
              <w:t>0</w:t>
            </w:r>
          </w:p>
        </w:tc>
        <w:tc>
          <w:tcPr>
            <w:tcW w:w="3319" w:type="dxa"/>
            <w:tcBorders>
              <w:top w:val="double" w:sz="4" w:space="0" w:color="auto"/>
            </w:tcBorders>
            <w:vAlign w:val="center"/>
          </w:tcPr>
          <w:p w:rsidR="004C050E" w:rsidRPr="00B916EC" w:rsidRDefault="004C050E" w:rsidP="00525351">
            <w:pPr>
              <w:pStyle w:val="TAC"/>
              <w:rPr>
                <w:lang w:val="en-US"/>
              </w:rPr>
            </w:pPr>
            <w:r w:rsidRPr="00B916EC">
              <w:rPr>
                <w:rStyle w:val="CommentReference"/>
                <w:rFonts w:cs="Arial"/>
                <w:szCs w:val="18"/>
              </w:rPr>
              <w:t>1</w:t>
            </w:r>
          </w:p>
        </w:tc>
        <w:tc>
          <w:tcPr>
            <w:tcW w:w="903" w:type="dxa"/>
            <w:tcBorders>
              <w:top w:val="double" w:sz="4" w:space="0" w:color="auto"/>
            </w:tcBorders>
            <w:vAlign w:val="center"/>
          </w:tcPr>
          <w:p w:rsidR="004C050E" w:rsidRPr="00B916EC" w:rsidRDefault="004C050E" w:rsidP="00525351">
            <w:pPr>
              <w:pStyle w:val="TAC"/>
              <w:rPr>
                <w:lang w:val="en-US"/>
              </w:rPr>
            </w:pPr>
            <w:r w:rsidRPr="00B916EC">
              <w:rPr>
                <w:rStyle w:val="CommentReference"/>
                <w:rFonts w:cs="Arial"/>
                <w:szCs w:val="18"/>
              </w:rPr>
              <w:t>1</w:t>
            </w:r>
          </w:p>
        </w:tc>
        <w:tc>
          <w:tcPr>
            <w:tcW w:w="3419" w:type="dxa"/>
            <w:tcBorders>
              <w:top w:val="double" w:sz="4" w:space="0" w:color="auto"/>
            </w:tcBorders>
            <w:vAlign w:val="center"/>
          </w:tcPr>
          <w:p w:rsidR="004C050E" w:rsidRPr="00B916EC" w:rsidRDefault="004C050E" w:rsidP="00525351">
            <w:pPr>
              <w:pStyle w:val="TAC"/>
              <w:rPr>
                <w:lang w:val="en-US"/>
              </w:rPr>
            </w:pPr>
            <w:r w:rsidRPr="00B916EC">
              <w:rPr>
                <w:rStyle w:val="CommentReference"/>
                <w:rFonts w:cs="Arial"/>
                <w:szCs w:val="18"/>
              </w:rPr>
              <w:t>0</w:t>
            </w:r>
          </w:p>
        </w:tc>
      </w:tr>
      <w:tr w:rsidR="004C050E" w:rsidRPr="00B916EC" w:rsidTr="00700692">
        <w:trPr>
          <w:cantSplit/>
        </w:trPr>
        <w:tc>
          <w:tcPr>
            <w:tcW w:w="805" w:type="dxa"/>
            <w:tcBorders>
              <w:right w:val="double" w:sz="4" w:space="0" w:color="auto"/>
            </w:tcBorders>
            <w:shd w:val="clear" w:color="auto" w:fill="auto"/>
            <w:vAlign w:val="center"/>
          </w:tcPr>
          <w:p w:rsidR="004C050E" w:rsidRPr="00B916EC" w:rsidRDefault="004C050E" w:rsidP="00525351">
            <w:pPr>
              <w:pStyle w:val="TAC"/>
              <w:rPr>
                <w:lang w:val="en-US"/>
              </w:rPr>
            </w:pPr>
            <w:r w:rsidRPr="00B916EC">
              <w:rPr>
                <w:lang w:val="en-US"/>
              </w:rPr>
              <w:t>1</w:t>
            </w:r>
          </w:p>
        </w:tc>
        <w:tc>
          <w:tcPr>
            <w:tcW w:w="987" w:type="dxa"/>
            <w:tcBorders>
              <w:left w:val="double" w:sz="4" w:space="0" w:color="auto"/>
            </w:tcBorders>
            <w:vAlign w:val="center"/>
          </w:tcPr>
          <w:p w:rsidR="004C050E" w:rsidRPr="00B916EC" w:rsidRDefault="004C050E" w:rsidP="00525351">
            <w:pPr>
              <w:pStyle w:val="TAC"/>
              <w:rPr>
                <w:lang w:val="en-US"/>
              </w:rPr>
            </w:pPr>
            <w:r w:rsidRPr="00B916EC">
              <w:rPr>
                <w:rStyle w:val="CommentReference"/>
                <w:rFonts w:cs="Arial"/>
                <w:szCs w:val="18"/>
              </w:rPr>
              <w:t>0</w:t>
            </w:r>
          </w:p>
        </w:tc>
        <w:tc>
          <w:tcPr>
            <w:tcW w:w="3319" w:type="dxa"/>
            <w:vAlign w:val="center"/>
          </w:tcPr>
          <w:p w:rsidR="004C050E" w:rsidRPr="00B916EC" w:rsidRDefault="004C050E" w:rsidP="00525351">
            <w:pPr>
              <w:pStyle w:val="TAC"/>
              <w:rPr>
                <w:lang w:val="en-US"/>
              </w:rPr>
            </w:pPr>
            <w:r w:rsidRPr="00B916EC">
              <w:rPr>
                <w:rStyle w:val="CommentReference"/>
                <w:rFonts w:cs="Arial"/>
                <w:szCs w:val="18"/>
              </w:rPr>
              <w:t>2</w:t>
            </w:r>
          </w:p>
        </w:tc>
        <w:tc>
          <w:tcPr>
            <w:tcW w:w="903" w:type="dxa"/>
            <w:vAlign w:val="center"/>
          </w:tcPr>
          <w:p w:rsidR="004C050E" w:rsidRPr="00B916EC" w:rsidRDefault="004C050E" w:rsidP="00525351">
            <w:pPr>
              <w:pStyle w:val="TAC"/>
              <w:rPr>
                <w:lang w:val="en-US"/>
              </w:rPr>
            </w:pPr>
            <w:r w:rsidRPr="00B916EC">
              <w:rPr>
                <w:rStyle w:val="CommentReference"/>
                <w:rFonts w:cs="Arial"/>
                <w:szCs w:val="18"/>
              </w:rPr>
              <w:t>1</w:t>
            </w:r>
            <w:r>
              <w:rPr>
                <w:rStyle w:val="CommentReference"/>
                <w:rFonts w:cs="Arial"/>
                <w:szCs w:val="18"/>
              </w:rPr>
              <w:t>/2</w:t>
            </w:r>
          </w:p>
        </w:tc>
        <w:tc>
          <w:tcPr>
            <w:tcW w:w="3419" w:type="dxa"/>
            <w:vAlign w:val="center"/>
          </w:tcPr>
          <w:p w:rsidR="004C050E" w:rsidRPr="00B916EC" w:rsidRDefault="004C050E" w:rsidP="00525351">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31" type="#_x0000_t75" style="width:7.5pt;height:14.15pt" o:ole="">
                  <v:imagedata r:id="rId20" o:title=""/>
                </v:shape>
                <o:OLEObject Type="Embed" ProgID="Equation.3" ShapeID="_x0000_i1031" DrawAspect="Content" ObjectID="_1627535469" r:id="rId21"/>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32" type="#_x0000_t75" style="width:7.5pt;height:14.15pt" o:ole="">
                  <v:imagedata r:id="rId22" o:title=""/>
                </v:shape>
                <o:OLEObject Type="Embed" ProgID="Equation.3" ShapeID="_x0000_i1032" DrawAspect="Content" ObjectID="_1627535470" r:id="rId23"/>
              </w:object>
            </w:r>
            <w:r>
              <w:t xml:space="preserve"> is odd</w:t>
            </w:r>
            <w:r w:rsidRPr="00B916EC">
              <w:rPr>
                <w:rStyle w:val="CommentReference"/>
                <w:rFonts w:cs="Arial"/>
                <w:szCs w:val="18"/>
              </w:rPr>
              <w:t>}</w:t>
            </w:r>
          </w:p>
        </w:tc>
      </w:tr>
      <w:tr w:rsidR="0065729E" w:rsidRPr="00B916EC" w:rsidTr="00700692">
        <w:trPr>
          <w:cantSplit/>
        </w:trPr>
        <w:tc>
          <w:tcPr>
            <w:tcW w:w="805" w:type="dxa"/>
            <w:tcBorders>
              <w:right w:val="double" w:sz="4" w:space="0" w:color="auto"/>
            </w:tcBorders>
            <w:shd w:val="clear" w:color="auto" w:fill="auto"/>
            <w:vAlign w:val="center"/>
          </w:tcPr>
          <w:p w:rsidR="0065729E" w:rsidRPr="00B916EC" w:rsidRDefault="0065729E" w:rsidP="0065729E">
            <w:pPr>
              <w:pStyle w:val="TAC"/>
            </w:pPr>
            <w:r>
              <w:t>2</w:t>
            </w:r>
          </w:p>
        </w:tc>
        <w:tc>
          <w:tcPr>
            <w:tcW w:w="987" w:type="dxa"/>
            <w:tcBorders>
              <w:left w:val="double" w:sz="4" w:space="0" w:color="auto"/>
            </w:tcBorders>
            <w:vAlign w:val="center"/>
          </w:tcPr>
          <w:p w:rsidR="0065729E" w:rsidRPr="00B916EC" w:rsidRDefault="0065729E" w:rsidP="0065729E">
            <w:pPr>
              <w:pStyle w:val="TAC"/>
            </w:pPr>
            <w:r w:rsidRPr="00B916EC">
              <w:rPr>
                <w:rStyle w:val="CommentReference"/>
                <w:rFonts w:cs="Arial"/>
                <w:szCs w:val="18"/>
              </w:rPr>
              <w:t>5</w:t>
            </w:r>
          </w:p>
        </w:tc>
        <w:tc>
          <w:tcPr>
            <w:tcW w:w="3319" w:type="dxa"/>
            <w:vAlign w:val="center"/>
          </w:tcPr>
          <w:p w:rsidR="0065729E" w:rsidRPr="00B916EC" w:rsidRDefault="0065729E" w:rsidP="0065729E">
            <w:pPr>
              <w:pStyle w:val="TAC"/>
            </w:pPr>
            <w:r w:rsidRPr="00B916EC">
              <w:rPr>
                <w:rStyle w:val="CommentReference"/>
                <w:rFonts w:cs="Arial"/>
                <w:szCs w:val="18"/>
              </w:rPr>
              <w:t>1</w:t>
            </w:r>
          </w:p>
        </w:tc>
        <w:tc>
          <w:tcPr>
            <w:tcW w:w="903" w:type="dxa"/>
            <w:vAlign w:val="center"/>
          </w:tcPr>
          <w:p w:rsidR="0065729E" w:rsidRPr="00B916EC" w:rsidRDefault="0065729E" w:rsidP="0065729E">
            <w:pPr>
              <w:pStyle w:val="TAC"/>
            </w:pPr>
            <w:r w:rsidRPr="00B916EC">
              <w:rPr>
                <w:rStyle w:val="CommentReference"/>
                <w:rFonts w:cs="Arial"/>
                <w:szCs w:val="18"/>
              </w:rPr>
              <w:t>1</w:t>
            </w:r>
          </w:p>
        </w:tc>
        <w:tc>
          <w:tcPr>
            <w:tcW w:w="3419" w:type="dxa"/>
            <w:vAlign w:val="center"/>
          </w:tcPr>
          <w:p w:rsidR="0065729E" w:rsidRPr="00B916EC" w:rsidRDefault="0065729E" w:rsidP="0065729E">
            <w:pPr>
              <w:pStyle w:val="TAC"/>
            </w:pPr>
            <w:r w:rsidRPr="00B916EC">
              <w:rPr>
                <w:rStyle w:val="CommentReference"/>
                <w:rFonts w:cs="Arial"/>
                <w:szCs w:val="18"/>
              </w:rPr>
              <w:t>0</w:t>
            </w:r>
          </w:p>
        </w:tc>
      </w:tr>
      <w:tr w:rsidR="0065729E" w:rsidRPr="00B916EC" w:rsidTr="00700692">
        <w:trPr>
          <w:cantSplit/>
        </w:trPr>
        <w:tc>
          <w:tcPr>
            <w:tcW w:w="805" w:type="dxa"/>
            <w:tcBorders>
              <w:right w:val="double" w:sz="4" w:space="0" w:color="auto"/>
            </w:tcBorders>
            <w:shd w:val="clear" w:color="auto" w:fill="auto"/>
            <w:vAlign w:val="center"/>
          </w:tcPr>
          <w:p w:rsidR="0065729E" w:rsidRPr="00B916EC" w:rsidRDefault="0065729E" w:rsidP="0065729E">
            <w:pPr>
              <w:pStyle w:val="TAC"/>
            </w:pPr>
            <w:r>
              <w:t>3</w:t>
            </w:r>
          </w:p>
        </w:tc>
        <w:tc>
          <w:tcPr>
            <w:tcW w:w="987" w:type="dxa"/>
            <w:tcBorders>
              <w:left w:val="double" w:sz="4" w:space="0" w:color="auto"/>
            </w:tcBorders>
            <w:vAlign w:val="center"/>
          </w:tcPr>
          <w:p w:rsidR="0065729E" w:rsidRPr="00B916EC" w:rsidRDefault="0065729E" w:rsidP="0065729E">
            <w:pPr>
              <w:pStyle w:val="TAC"/>
            </w:pPr>
            <w:r w:rsidRPr="00B916EC">
              <w:rPr>
                <w:rStyle w:val="CommentReference"/>
                <w:rFonts w:cs="Arial"/>
                <w:szCs w:val="18"/>
              </w:rPr>
              <w:t>5</w:t>
            </w:r>
          </w:p>
        </w:tc>
        <w:tc>
          <w:tcPr>
            <w:tcW w:w="3319" w:type="dxa"/>
            <w:vAlign w:val="center"/>
          </w:tcPr>
          <w:p w:rsidR="0065729E" w:rsidRPr="00B916EC" w:rsidRDefault="0065729E" w:rsidP="0065729E">
            <w:pPr>
              <w:pStyle w:val="TAC"/>
            </w:pPr>
            <w:r w:rsidRPr="00B916EC">
              <w:rPr>
                <w:rStyle w:val="CommentReference"/>
                <w:rFonts w:cs="Arial"/>
                <w:szCs w:val="18"/>
              </w:rPr>
              <w:t>2</w:t>
            </w:r>
          </w:p>
        </w:tc>
        <w:tc>
          <w:tcPr>
            <w:tcW w:w="903" w:type="dxa"/>
            <w:vAlign w:val="center"/>
          </w:tcPr>
          <w:p w:rsidR="0065729E" w:rsidRPr="00B916EC" w:rsidRDefault="0065729E" w:rsidP="0065729E">
            <w:pPr>
              <w:pStyle w:val="TAC"/>
            </w:pPr>
            <w:r w:rsidRPr="00B916EC">
              <w:rPr>
                <w:rStyle w:val="CommentReference"/>
                <w:rFonts w:cs="Arial"/>
                <w:szCs w:val="18"/>
              </w:rPr>
              <w:t>1</w:t>
            </w:r>
            <w:r>
              <w:rPr>
                <w:rStyle w:val="CommentReference"/>
                <w:rFonts w:cs="Arial"/>
                <w:szCs w:val="18"/>
              </w:rPr>
              <w:t>/2</w:t>
            </w:r>
          </w:p>
        </w:tc>
        <w:tc>
          <w:tcPr>
            <w:tcW w:w="3419" w:type="dxa"/>
            <w:vAlign w:val="center"/>
          </w:tcPr>
          <w:p w:rsidR="0065729E" w:rsidRPr="00B916EC" w:rsidRDefault="0065729E" w:rsidP="0065729E">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9F26DA2">
                <v:shape id="_x0000_i1033" type="#_x0000_t75" style="width:7.5pt;height:14.15pt" o:ole="">
                  <v:imagedata r:id="rId20" o:title=""/>
                </v:shape>
                <o:OLEObject Type="Embed" ProgID="Equation.3" ShapeID="_x0000_i1033" DrawAspect="Content" ObjectID="_1627535471" r:id="rId24"/>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346490A2">
                <v:shape id="_x0000_i1034" type="#_x0000_t75" style="width:7.5pt;height:14.15pt" o:ole="">
                  <v:imagedata r:id="rId22" o:title=""/>
                </v:shape>
                <o:OLEObject Type="Embed" ProgID="Equation.3" ShapeID="_x0000_i1034" DrawAspect="Content" ObjectID="_1627535472" r:id="rId25"/>
              </w:object>
            </w:r>
            <w:r>
              <w:t xml:space="preserve"> is odd</w:t>
            </w:r>
            <w:r w:rsidRPr="00B916EC">
              <w:rPr>
                <w:rStyle w:val="CommentReference"/>
                <w:rFonts w:cs="Arial"/>
                <w:szCs w:val="18"/>
              </w:rPr>
              <w:t>}</w:t>
            </w:r>
          </w:p>
        </w:tc>
      </w:tr>
      <w:tr w:rsidR="0065729E" w:rsidRPr="002C3037" w:rsidTr="00700692">
        <w:trPr>
          <w:cantSplit/>
        </w:trPr>
        <w:tc>
          <w:tcPr>
            <w:tcW w:w="805" w:type="dxa"/>
            <w:tcBorders>
              <w:right w:val="double" w:sz="4" w:space="0" w:color="auto"/>
            </w:tcBorders>
            <w:shd w:val="clear" w:color="auto" w:fill="auto"/>
            <w:vAlign w:val="center"/>
          </w:tcPr>
          <w:p w:rsidR="0065729E" w:rsidRPr="002C3037" w:rsidRDefault="0065729E" w:rsidP="0065729E">
            <w:pPr>
              <w:pStyle w:val="TAC"/>
            </w:pPr>
            <w:r w:rsidRPr="002C3037">
              <w:t>4</w:t>
            </w:r>
          </w:p>
        </w:tc>
        <w:tc>
          <w:tcPr>
            <w:tcW w:w="987" w:type="dxa"/>
            <w:tcBorders>
              <w:left w:val="double" w:sz="4" w:space="0" w:color="auto"/>
            </w:tcBorders>
            <w:vAlign w:val="center"/>
          </w:tcPr>
          <w:p w:rsidR="0065729E" w:rsidRPr="002C3037" w:rsidRDefault="0065729E" w:rsidP="0065729E">
            <w:pPr>
              <w:pStyle w:val="TAC"/>
            </w:pPr>
            <w:r w:rsidRPr="002C3037">
              <w:rPr>
                <w:rStyle w:val="CommentReference"/>
                <w:rFonts w:cs="Arial"/>
                <w:szCs w:val="18"/>
              </w:rPr>
              <w:t>0</w:t>
            </w:r>
          </w:p>
        </w:tc>
        <w:tc>
          <w:tcPr>
            <w:tcW w:w="3319" w:type="dxa"/>
            <w:vAlign w:val="center"/>
          </w:tcPr>
          <w:p w:rsidR="0065729E" w:rsidRPr="002C3037" w:rsidRDefault="0065729E" w:rsidP="0065729E">
            <w:pPr>
              <w:pStyle w:val="TAC"/>
            </w:pPr>
            <w:r w:rsidRPr="002C3037">
              <w:rPr>
                <w:rStyle w:val="CommentReference"/>
                <w:rFonts w:cs="Arial"/>
                <w:szCs w:val="18"/>
              </w:rPr>
              <w:t>2</w:t>
            </w:r>
          </w:p>
        </w:tc>
        <w:tc>
          <w:tcPr>
            <w:tcW w:w="903" w:type="dxa"/>
            <w:vAlign w:val="center"/>
          </w:tcPr>
          <w:p w:rsidR="0065729E" w:rsidRPr="002C3037" w:rsidRDefault="0065729E" w:rsidP="0065729E">
            <w:pPr>
              <w:pStyle w:val="TAC"/>
            </w:pPr>
            <w:r w:rsidRPr="002C3037">
              <w:rPr>
                <w:rStyle w:val="CommentReference"/>
                <w:rFonts w:cs="Arial"/>
                <w:szCs w:val="18"/>
              </w:rPr>
              <w:t>1/2</w:t>
            </w:r>
          </w:p>
        </w:tc>
        <w:tc>
          <w:tcPr>
            <w:tcW w:w="3419" w:type="dxa"/>
            <w:vAlign w:val="center"/>
          </w:tcPr>
          <w:p w:rsidR="0065729E" w:rsidRPr="002C3037" w:rsidRDefault="0065729E" w:rsidP="0065729E">
            <w:pPr>
              <w:pStyle w:val="TAC"/>
            </w:pPr>
            <w:r w:rsidRPr="002C3037">
              <w:rPr>
                <w:rStyle w:val="CommentReference"/>
                <w:rFonts w:cs="Arial"/>
                <w:szCs w:val="18"/>
              </w:rPr>
              <w:t xml:space="preserve"> {0, if </w:t>
            </w:r>
            <w:r w:rsidRPr="002C3037">
              <w:rPr>
                <w:position w:val="-6"/>
              </w:rPr>
              <w:object w:dxaOrig="139" w:dyaOrig="240" w14:anchorId="2D12A5E4">
                <v:shape id="_x0000_i1035" type="#_x0000_t75" style="width:7.5pt;height:14.15pt" o:ole="">
                  <v:imagedata r:id="rId20" o:title=""/>
                </v:shape>
                <o:OLEObject Type="Embed" ProgID="Equation.3" ShapeID="_x0000_i1035" DrawAspect="Content" ObjectID="_1627535473" r:id="rId26"/>
              </w:object>
            </w:r>
            <w:r w:rsidRPr="002C3037">
              <w:t xml:space="preserve"> is even}</w:t>
            </w:r>
            <w:r w:rsidRPr="002C3037">
              <w:rPr>
                <w:rStyle w:val="CommentReference"/>
                <w:rFonts w:cs="Arial"/>
                <w:szCs w:val="18"/>
              </w:rPr>
              <w:t>, {</w:t>
            </w:r>
            <w:r w:rsidRPr="002C3037">
              <w:rPr>
                <w:position w:val="-12"/>
              </w:rPr>
              <w:object w:dxaOrig="780" w:dyaOrig="360" w14:anchorId="3F72DE11">
                <v:shape id="_x0000_i1036" type="#_x0000_t75" style="width:38.3pt;height:17.5pt" o:ole="">
                  <v:imagedata r:id="rId27" o:title=""/>
                </v:shape>
                <o:OLEObject Type="Embed" ProgID="Equation.3" ShapeID="_x0000_i1036" DrawAspect="Content" ObjectID="_1627535474" r:id="rId28"/>
              </w:object>
            </w:r>
            <w:r w:rsidRPr="002C3037">
              <w:t xml:space="preserve">, if </w:t>
            </w:r>
            <w:r w:rsidRPr="002C3037">
              <w:rPr>
                <w:position w:val="-6"/>
              </w:rPr>
              <w:object w:dxaOrig="139" w:dyaOrig="240" w14:anchorId="34BDFB88">
                <v:shape id="_x0000_i1037" type="#_x0000_t75" style="width:7.5pt;height:14.15pt" o:ole="">
                  <v:imagedata r:id="rId22" o:title=""/>
                </v:shape>
                <o:OLEObject Type="Embed" ProgID="Equation.3" ShapeID="_x0000_i1037" DrawAspect="Content" ObjectID="_1627535475" r:id="rId29"/>
              </w:object>
            </w:r>
            <w:r w:rsidRPr="002C3037">
              <w:t xml:space="preserve"> is odd</w:t>
            </w:r>
            <w:r w:rsidRPr="002C3037">
              <w:rPr>
                <w:rStyle w:val="CommentReference"/>
                <w:rFonts w:cs="Arial"/>
                <w:szCs w:val="18"/>
              </w:rPr>
              <w:t>}</w:t>
            </w:r>
          </w:p>
        </w:tc>
      </w:tr>
      <w:tr w:rsidR="0065729E" w:rsidRPr="002C3037" w:rsidTr="00700692">
        <w:trPr>
          <w:cantSplit/>
        </w:trPr>
        <w:tc>
          <w:tcPr>
            <w:tcW w:w="805" w:type="dxa"/>
            <w:tcBorders>
              <w:right w:val="double" w:sz="4" w:space="0" w:color="auto"/>
            </w:tcBorders>
            <w:shd w:val="clear" w:color="auto" w:fill="auto"/>
            <w:vAlign w:val="center"/>
          </w:tcPr>
          <w:p w:rsidR="0065729E" w:rsidRPr="002C3037" w:rsidRDefault="0065729E" w:rsidP="0065729E">
            <w:pPr>
              <w:pStyle w:val="TAC"/>
            </w:pPr>
            <w:r w:rsidRPr="002C3037">
              <w:t>5</w:t>
            </w:r>
          </w:p>
        </w:tc>
        <w:tc>
          <w:tcPr>
            <w:tcW w:w="987" w:type="dxa"/>
            <w:tcBorders>
              <w:left w:val="double" w:sz="4" w:space="0" w:color="auto"/>
            </w:tcBorders>
            <w:vAlign w:val="center"/>
          </w:tcPr>
          <w:p w:rsidR="0065729E" w:rsidRPr="002C3037" w:rsidRDefault="0065729E" w:rsidP="0065729E">
            <w:pPr>
              <w:pStyle w:val="TAC"/>
            </w:pPr>
            <w:r w:rsidRPr="002C3037">
              <w:rPr>
                <w:rStyle w:val="CommentReference"/>
                <w:rFonts w:cs="Arial"/>
                <w:szCs w:val="18"/>
              </w:rPr>
              <w:t>5</w:t>
            </w:r>
          </w:p>
        </w:tc>
        <w:tc>
          <w:tcPr>
            <w:tcW w:w="3319" w:type="dxa"/>
            <w:vAlign w:val="center"/>
          </w:tcPr>
          <w:p w:rsidR="0065729E" w:rsidRPr="002C3037" w:rsidRDefault="0065729E" w:rsidP="0065729E">
            <w:pPr>
              <w:pStyle w:val="TAC"/>
            </w:pPr>
            <w:r w:rsidRPr="002C3037">
              <w:rPr>
                <w:rStyle w:val="CommentReference"/>
                <w:rFonts w:cs="Arial"/>
                <w:szCs w:val="18"/>
              </w:rPr>
              <w:t>2</w:t>
            </w:r>
          </w:p>
        </w:tc>
        <w:tc>
          <w:tcPr>
            <w:tcW w:w="903" w:type="dxa"/>
            <w:vAlign w:val="center"/>
          </w:tcPr>
          <w:p w:rsidR="0065729E" w:rsidRPr="002C3037" w:rsidRDefault="0065729E" w:rsidP="0065729E">
            <w:pPr>
              <w:pStyle w:val="TAC"/>
            </w:pPr>
            <w:r w:rsidRPr="002C3037">
              <w:rPr>
                <w:rStyle w:val="CommentReference"/>
                <w:rFonts w:cs="Arial"/>
                <w:szCs w:val="18"/>
              </w:rPr>
              <w:t>1/2</w:t>
            </w:r>
          </w:p>
        </w:tc>
        <w:tc>
          <w:tcPr>
            <w:tcW w:w="3419" w:type="dxa"/>
            <w:vAlign w:val="center"/>
          </w:tcPr>
          <w:p w:rsidR="0065729E" w:rsidRPr="002C3037" w:rsidRDefault="0065729E" w:rsidP="0065729E">
            <w:pPr>
              <w:pStyle w:val="TAC"/>
            </w:pPr>
            <w:r w:rsidRPr="002C3037">
              <w:rPr>
                <w:rStyle w:val="CommentReference"/>
                <w:rFonts w:cs="Arial"/>
                <w:szCs w:val="18"/>
              </w:rPr>
              <w:t xml:space="preserve"> {0, if </w:t>
            </w:r>
            <w:r w:rsidRPr="002C3037">
              <w:rPr>
                <w:position w:val="-6"/>
              </w:rPr>
              <w:object w:dxaOrig="139" w:dyaOrig="240" w14:anchorId="267CB03A">
                <v:shape id="_x0000_i1038" type="#_x0000_t75" style="width:7.5pt;height:14.15pt" o:ole="">
                  <v:imagedata r:id="rId20" o:title=""/>
                </v:shape>
                <o:OLEObject Type="Embed" ProgID="Equation.3" ShapeID="_x0000_i1038" DrawAspect="Content" ObjectID="_1627535476" r:id="rId30"/>
              </w:object>
            </w:r>
            <w:r w:rsidRPr="002C3037">
              <w:t xml:space="preserve"> is even}</w:t>
            </w:r>
            <w:r w:rsidRPr="002C3037">
              <w:rPr>
                <w:rStyle w:val="CommentReference"/>
                <w:rFonts w:cs="Arial"/>
                <w:szCs w:val="18"/>
              </w:rPr>
              <w:t>, {</w:t>
            </w:r>
            <w:r w:rsidRPr="002C3037">
              <w:rPr>
                <w:position w:val="-12"/>
              </w:rPr>
              <w:object w:dxaOrig="780" w:dyaOrig="360" w14:anchorId="1881725F">
                <v:shape id="_x0000_i1039" type="#_x0000_t75" style="width:38.3pt;height:17.5pt" o:ole="">
                  <v:imagedata r:id="rId27" o:title=""/>
                </v:shape>
                <o:OLEObject Type="Embed" ProgID="Equation.3" ShapeID="_x0000_i1039" DrawAspect="Content" ObjectID="_1627535477" r:id="rId31"/>
              </w:object>
            </w:r>
            <w:r w:rsidRPr="002C3037">
              <w:t xml:space="preserve">, if </w:t>
            </w:r>
            <w:r w:rsidRPr="002C3037">
              <w:rPr>
                <w:position w:val="-6"/>
              </w:rPr>
              <w:object w:dxaOrig="139" w:dyaOrig="240" w14:anchorId="390D5D0F">
                <v:shape id="_x0000_i1040" type="#_x0000_t75" style="width:7.5pt;height:14.15pt" o:ole="">
                  <v:imagedata r:id="rId22" o:title=""/>
                </v:shape>
                <o:OLEObject Type="Embed" ProgID="Equation.3" ShapeID="_x0000_i1040" DrawAspect="Content" ObjectID="_1627535478" r:id="rId32"/>
              </w:object>
            </w:r>
            <w:r w:rsidRPr="002C3037">
              <w:t xml:space="preserve"> is odd</w:t>
            </w:r>
            <w:r w:rsidRPr="002C3037">
              <w:rPr>
                <w:rStyle w:val="CommentReference"/>
                <w:rFonts w:cs="Arial"/>
                <w:szCs w:val="18"/>
              </w:rPr>
              <w:t>}</w:t>
            </w:r>
          </w:p>
        </w:tc>
      </w:tr>
      <w:tr w:rsidR="00700692" w:rsidRPr="00B916EC" w:rsidTr="00700692">
        <w:trPr>
          <w:cantSplit/>
        </w:trPr>
        <w:tc>
          <w:tcPr>
            <w:tcW w:w="805" w:type="dxa"/>
            <w:tcBorders>
              <w:right w:val="double" w:sz="4" w:space="0" w:color="auto"/>
            </w:tcBorders>
            <w:shd w:val="clear" w:color="auto" w:fill="auto"/>
            <w:vAlign w:val="center"/>
          </w:tcPr>
          <w:p w:rsidR="00700692" w:rsidRPr="00632AAB" w:rsidRDefault="00700692" w:rsidP="00700692">
            <w:pPr>
              <w:pStyle w:val="TAC"/>
              <w:rPr>
                <w:highlight w:val="red"/>
              </w:rPr>
            </w:pPr>
            <w:r>
              <w:t>6</w:t>
            </w:r>
          </w:p>
        </w:tc>
        <w:tc>
          <w:tcPr>
            <w:tcW w:w="8628" w:type="dxa"/>
            <w:gridSpan w:val="4"/>
            <w:tcBorders>
              <w:left w:val="double" w:sz="4" w:space="0" w:color="auto"/>
            </w:tcBorders>
            <w:vAlign w:val="center"/>
          </w:tcPr>
          <w:p w:rsidR="00700692" w:rsidRPr="00632AAB" w:rsidRDefault="00700692" w:rsidP="00700692">
            <w:pPr>
              <w:pStyle w:val="TAC"/>
              <w:rPr>
                <w:highlight w:val="red"/>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7</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8</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9</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10</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11</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12</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13</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B916EC" w:rsidRDefault="00700692" w:rsidP="00700692">
            <w:pPr>
              <w:pStyle w:val="TAC"/>
            </w:pPr>
            <w:r>
              <w:t>14</w:t>
            </w:r>
          </w:p>
        </w:tc>
        <w:tc>
          <w:tcPr>
            <w:tcW w:w="8628" w:type="dxa"/>
            <w:gridSpan w:val="4"/>
            <w:tcBorders>
              <w:left w:val="double" w:sz="4" w:space="0" w:color="auto"/>
            </w:tcBorders>
            <w:vAlign w:val="center"/>
          </w:tcPr>
          <w:p w:rsidR="00700692" w:rsidRPr="00B916EC" w:rsidRDefault="00700692" w:rsidP="00700692">
            <w:pPr>
              <w:pStyle w:val="TAC"/>
              <w:rPr>
                <w:rFonts w:cs="Arial"/>
                <w:kern w:val="24"/>
                <w:szCs w:val="18"/>
              </w:rPr>
            </w:pPr>
            <w:r w:rsidRPr="00B916EC">
              <w:rPr>
                <w:rFonts w:cs="Arial"/>
                <w:kern w:val="24"/>
                <w:szCs w:val="18"/>
              </w:rPr>
              <w:t>Reserved</w:t>
            </w:r>
          </w:p>
        </w:tc>
      </w:tr>
      <w:tr w:rsidR="00700692" w:rsidRPr="00B916EC" w:rsidTr="00700692">
        <w:trPr>
          <w:cantSplit/>
        </w:trPr>
        <w:tc>
          <w:tcPr>
            <w:tcW w:w="805" w:type="dxa"/>
            <w:tcBorders>
              <w:right w:val="double" w:sz="4" w:space="0" w:color="auto"/>
            </w:tcBorders>
            <w:shd w:val="clear" w:color="auto" w:fill="auto"/>
            <w:vAlign w:val="center"/>
          </w:tcPr>
          <w:p w:rsidR="00700692" w:rsidRPr="00632AAB" w:rsidRDefault="00700692" w:rsidP="00700692">
            <w:pPr>
              <w:pStyle w:val="TAC"/>
              <w:rPr>
                <w:highlight w:val="red"/>
              </w:rPr>
            </w:pPr>
            <w:r w:rsidRPr="00B916EC">
              <w:rPr>
                <w:rFonts w:cs="Arial"/>
                <w:kern w:val="24"/>
                <w:szCs w:val="18"/>
              </w:rPr>
              <w:t>15</w:t>
            </w:r>
          </w:p>
        </w:tc>
        <w:tc>
          <w:tcPr>
            <w:tcW w:w="8628" w:type="dxa"/>
            <w:gridSpan w:val="4"/>
            <w:tcBorders>
              <w:left w:val="double" w:sz="4" w:space="0" w:color="auto"/>
            </w:tcBorders>
            <w:vAlign w:val="center"/>
          </w:tcPr>
          <w:p w:rsidR="00700692" w:rsidRPr="00632AAB" w:rsidRDefault="00700692" w:rsidP="00700692">
            <w:pPr>
              <w:pStyle w:val="TAC"/>
              <w:rPr>
                <w:highlight w:val="red"/>
              </w:rPr>
            </w:pPr>
            <w:r w:rsidRPr="00B916EC">
              <w:rPr>
                <w:rFonts w:cs="Arial"/>
                <w:kern w:val="24"/>
                <w:szCs w:val="18"/>
              </w:rPr>
              <w:t>Reserved</w:t>
            </w:r>
          </w:p>
        </w:tc>
      </w:tr>
    </w:tbl>
    <w:p w:rsidR="00774C5B" w:rsidRDefault="00774C5B" w:rsidP="00F92BD7"/>
    <w:p w:rsidR="00611C13" w:rsidRDefault="00611C13" w:rsidP="00611C13">
      <w:pPr>
        <w:pStyle w:val="Heading1"/>
        <w:rPr>
          <w:lang w:eastAsia="zh-CN"/>
        </w:rPr>
      </w:pPr>
      <w:r>
        <w:rPr>
          <w:lang w:eastAsia="zh-CN"/>
        </w:rPr>
        <w:t>Random Access Procedure</w:t>
      </w:r>
    </w:p>
    <w:p w:rsidR="00611C13" w:rsidRDefault="00611C13" w:rsidP="00611C13">
      <w:pPr>
        <w:rPr>
          <w:lang w:val="en-GB" w:eastAsia="zh-CN"/>
        </w:rPr>
      </w:pPr>
      <w:r>
        <w:rPr>
          <w:lang w:val="en-GB" w:eastAsia="zh-CN"/>
        </w:rPr>
        <w:t xml:space="preserve">In this section, we discuss some potential enhancements to 4-step RACH for NR-U operations. Specifically, we address the following issues: </w:t>
      </w:r>
    </w:p>
    <w:p w:rsidR="00611C13" w:rsidRPr="00BE7FBC"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Enhancement to RACH resources</w:t>
      </w:r>
    </w:p>
    <w:p w:rsidR="00611C13" w:rsidRPr="00BE7FBC"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RACH occasion validation rules</w:t>
      </w:r>
    </w:p>
    <w:p w:rsidR="00611C13" w:rsidRPr="003824A6"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Handling systematic LBT failures in RACH</w:t>
      </w:r>
    </w:p>
    <w:p w:rsidR="00611C13" w:rsidRDefault="00611C13" w:rsidP="00611C13">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611C13" w:rsidRPr="00013008" w:rsidTr="00EC56B7">
        <w:tc>
          <w:tcPr>
            <w:tcW w:w="9631" w:type="dxa"/>
          </w:tcPr>
          <w:p w:rsidR="00611C13" w:rsidRPr="00013008" w:rsidRDefault="00611C13" w:rsidP="00EC56B7">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611C13" w:rsidRPr="00013008" w:rsidRDefault="00611C13" w:rsidP="00611C13">
            <w:pPr>
              <w:pStyle w:val="ListParagraph"/>
              <w:numPr>
                <w:ilvl w:val="1"/>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lastRenderedPageBreak/>
              <w:t>Initial active DL/UL BWP is approximately 20MHz for 6GHz band if similar channelization as 5GHz band is used for 6GHz band</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611C13" w:rsidRPr="00013008" w:rsidRDefault="00611C13" w:rsidP="00611C13">
      <w:pPr>
        <w:rPr>
          <w:lang w:val="en-GB" w:eastAsia="zh-CN"/>
        </w:rPr>
      </w:pPr>
    </w:p>
    <w:tbl>
      <w:tblPr>
        <w:tblStyle w:val="TableGrid"/>
        <w:tblW w:w="0" w:type="auto"/>
        <w:tblLook w:val="04A0" w:firstRow="1" w:lastRow="0" w:firstColumn="1" w:lastColumn="0" w:noHBand="0" w:noVBand="1"/>
      </w:tblPr>
      <w:tblGrid>
        <w:gridCol w:w="9631"/>
      </w:tblGrid>
      <w:tr w:rsidR="00611C13" w:rsidRPr="00262696" w:rsidTr="00EC56B7">
        <w:tc>
          <w:tcPr>
            <w:tcW w:w="9631" w:type="dxa"/>
          </w:tcPr>
          <w:p w:rsidR="00611C13" w:rsidRPr="00262696" w:rsidRDefault="00611C13" w:rsidP="00EC56B7">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611C13" w:rsidRPr="00262696" w:rsidRDefault="00611C13" w:rsidP="00EC56B7">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611C13" w:rsidRPr="00262696" w:rsidRDefault="00611C13" w:rsidP="00611C13">
            <w:pPr>
              <w:numPr>
                <w:ilvl w:val="0"/>
                <w:numId w:val="36"/>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611C13" w:rsidRPr="00A858E8"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t>Multiple PRACH resources across multiple LBT sub-bands/carriers for both contention-free and contention-based RA</w:t>
            </w:r>
          </w:p>
          <w:p w:rsidR="00611C13" w:rsidRPr="00262696" w:rsidRDefault="00611C13" w:rsidP="00611C13">
            <w:pPr>
              <w:numPr>
                <w:ilvl w:val="0"/>
                <w:numId w:val="36"/>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 xml:space="preserve">For connected mode UE, scheduling of PRACH resources via DCI. </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Triggered PRACH within TXOP can use a new resource</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Additional, new RACH resources are used immediately following detection of DRS transmission</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611C13"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11C13" w:rsidRDefault="00611C13" w:rsidP="00611C13">
      <w:pPr>
        <w:rPr>
          <w:lang w:val="en-GB" w:eastAsia="zh-CN"/>
        </w:rPr>
      </w:pPr>
    </w:p>
    <w:p w:rsidR="00611C13" w:rsidRDefault="00611C13" w:rsidP="00611C13">
      <w:r>
        <w:rPr>
          <w:lang w:val="en-GB" w:eastAsia="zh-CN"/>
        </w:rPr>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611C13" w:rsidRDefault="00611C13" w:rsidP="00611C13">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the initial active DL/UL BWP is approximately 20MHz. Therefore, in initial access and idle mode, it is not clear how this can be supported without extending the BW of the initial active UL BWP or increasing the number of initial active UL BWPs.</w:t>
      </w:r>
    </w:p>
    <w:p w:rsidR="00611C13" w:rsidRDefault="00611C13" w:rsidP="00611C13">
      <w:pPr>
        <w:pStyle w:val="Caption"/>
      </w:pPr>
      <w:bookmarkStart w:id="19" w:name="_Ref534988931"/>
      <w:r>
        <w:t xml:space="preserve">Observation </w:t>
      </w:r>
      <w:fldSimple w:instr=" SEQ Observation \* ARABIC ">
        <w:r w:rsidR="00D1449B">
          <w:rPr>
            <w:noProof/>
          </w:rPr>
          <w:t>3</w:t>
        </w:r>
      </w:fldSimple>
      <w:r>
        <w:t>: It is not clear how multiple PRACH resources can be allocated across multiple LBT sub-bands/carriers for UEs in initial access or idle mode since it has been agreed initial active DL/UL BWPs are approximately 20MHz.</w:t>
      </w:r>
      <w:bookmarkEnd w:id="19"/>
      <w:r>
        <w:t xml:space="preserve"> </w:t>
      </w:r>
    </w:p>
    <w:p w:rsidR="00611C13" w:rsidRPr="00611C13" w:rsidRDefault="00611C13" w:rsidP="00611C13">
      <w:pPr>
        <w:pStyle w:val="Caption"/>
      </w:pPr>
      <w:bookmarkStart w:id="20" w:name="_Ref16919128"/>
      <w:r>
        <w:t xml:space="preserve">Observation </w:t>
      </w:r>
      <w:fldSimple w:instr=" SEQ Observation \* ARABIC ">
        <w:r w:rsidR="00D1449B">
          <w:rPr>
            <w:noProof/>
          </w:rPr>
          <w:t>4</w:t>
        </w:r>
      </w:fldSimple>
      <w:r>
        <w:t>: On the other hand, it is beneficial to have PRACH resources over multiple LBT sub-bands/carriers for UE to increase the LBT success rate.</w:t>
      </w:r>
      <w:bookmarkEnd w:id="20"/>
      <w:r>
        <w:t xml:space="preserve">  </w:t>
      </w:r>
    </w:p>
    <w:p w:rsidR="00611C13" w:rsidRDefault="00611C13" w:rsidP="00611C13">
      <w:pPr>
        <w:pStyle w:val="Caption"/>
        <w:rPr>
          <w:b w:val="0"/>
        </w:rPr>
      </w:pPr>
      <w:bookmarkStart w:id="21" w:name="_Ref16919286"/>
      <w:r>
        <w:t xml:space="preserve">Proposal </w:t>
      </w:r>
      <w:fldSimple w:instr=" SEQ Proposal \* ARABIC ">
        <w:r w:rsidR="00D1449B">
          <w:rPr>
            <w:noProof/>
          </w:rPr>
          <w:t>13</w:t>
        </w:r>
      </w:fldSimple>
      <w:r>
        <w:t>: RACH resource enhancement in frequency domain can be considered so that multiple RACH resources can be allocated across multiple LBT sub-bands/carriers.</w:t>
      </w:r>
      <w:bookmarkEnd w:id="21"/>
    </w:p>
    <w:p w:rsidR="00611C13" w:rsidRDefault="00611C13" w:rsidP="00611C13">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611C13" w:rsidRPr="00611C13" w:rsidRDefault="00611C13" w:rsidP="00611C13">
      <w:pPr>
        <w:pStyle w:val="Caption"/>
      </w:pPr>
      <w:bookmarkStart w:id="22" w:name="_Ref534989008"/>
      <w:r>
        <w:t xml:space="preserve">Proposal </w:t>
      </w:r>
      <w:fldSimple w:instr=" SEQ Proposal \* ARABIC ">
        <w:r w:rsidR="00D1449B">
          <w:rPr>
            <w:noProof/>
          </w:rPr>
          <w:t>14</w:t>
        </w:r>
      </w:fldSimple>
      <w:r>
        <w:t>: S</w:t>
      </w:r>
      <w:r w:rsidRPr="00DA2B76">
        <w:t>cheduling of PRACH resources via DCI</w:t>
      </w:r>
      <w:r>
        <w:t xml:space="preserve"> can be considered for NR-U.</w:t>
      </w:r>
      <w:bookmarkEnd w:id="22"/>
      <w:r>
        <w:t xml:space="preserve"> </w:t>
      </w:r>
    </w:p>
    <w:p w:rsidR="00611C13" w:rsidRDefault="00611C13" w:rsidP="00611C13">
      <w:pPr>
        <w:rPr>
          <w:lang w:val="en-GB" w:eastAsia="zh-CN"/>
        </w:rPr>
      </w:pPr>
      <w:r>
        <w:rPr>
          <w:lang w:val="en-GB" w:eastAsia="zh-CN"/>
        </w:rPr>
        <w:t>Regarding 2.b., as pointed out in the note, it is not resource efficient to schedule PRACH resources via paging since paging is sent to multiple cells.</w:t>
      </w:r>
    </w:p>
    <w:p w:rsidR="00611C13" w:rsidRDefault="00611C13" w:rsidP="00611C13">
      <w:pPr>
        <w:pStyle w:val="Caption"/>
        <w:rPr>
          <w:lang w:val="en-GB" w:eastAsia="zh-CN"/>
        </w:rPr>
      </w:pPr>
      <w:bookmarkStart w:id="23" w:name="_Ref534989014"/>
      <w:r>
        <w:t xml:space="preserve">Proposal </w:t>
      </w:r>
      <w:fldSimple w:instr=" SEQ Proposal \* ARABIC ">
        <w:r w:rsidR="00D1449B">
          <w:rPr>
            <w:noProof/>
          </w:rPr>
          <w:t>15</w:t>
        </w:r>
      </w:fldSimple>
      <w:r>
        <w:t xml:space="preserve">: </w:t>
      </w:r>
      <w:r w:rsidRPr="00E83D2A">
        <w:t>Scheduling of PRACH resources via paging for idle mode UEs shall not be supported in NR-U.</w:t>
      </w:r>
      <w:bookmarkEnd w:id="23"/>
      <w:r>
        <w:t xml:space="preserve"> </w:t>
      </w:r>
      <w:r>
        <w:rPr>
          <w:lang w:val="en-GB" w:eastAsia="zh-CN"/>
        </w:rPr>
        <w:t xml:space="preserve"> </w:t>
      </w:r>
    </w:p>
    <w:p w:rsidR="00611C13" w:rsidRDefault="00611C13" w:rsidP="00611C13">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611C13" w:rsidRDefault="00611C13" w:rsidP="00176EA5">
      <w:pPr>
        <w:pStyle w:val="Caption"/>
      </w:pPr>
      <w:bookmarkStart w:id="24" w:name="_Ref534989020"/>
      <w:r>
        <w:t xml:space="preserve">Proposal </w:t>
      </w:r>
      <w:fldSimple w:instr=" SEQ Proposal \* ARABIC ">
        <w:r w:rsidR="00D1449B">
          <w:rPr>
            <w:noProof/>
          </w:rPr>
          <w:t>16</w:t>
        </w:r>
      </w:fldSimple>
      <w:r>
        <w:t>: Allocating</w:t>
      </w:r>
      <w:r w:rsidRPr="004B689C">
        <w:t xml:space="preserve"> additional RACH resources immediately followin</w:t>
      </w:r>
      <w:r>
        <w:t>g DRS transmission can be considered in NR-U.</w:t>
      </w:r>
      <w:bookmarkEnd w:id="24"/>
      <w:r>
        <w:t xml:space="preserve"> </w:t>
      </w:r>
    </w:p>
    <w:p w:rsidR="00611C13" w:rsidRPr="00480C09" w:rsidRDefault="00611C13" w:rsidP="00611C13">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w:t>
      </w:r>
      <w:r>
        <w:rPr>
          <w:lang w:val="en-GB" w:eastAsia="zh-CN"/>
        </w:rPr>
        <w:lastRenderedPageBreak/>
        <w:t xml:space="preserve">is no need to actually transmit multiple Msg1s. It is unclear to us how by allowing multiple Msg1 transmissions would help to cope with the impact of LBT failure. </w:t>
      </w:r>
    </w:p>
    <w:p w:rsidR="00611C13" w:rsidRDefault="00611C13" w:rsidP="00611C13">
      <w:pPr>
        <w:pStyle w:val="Caption"/>
      </w:pPr>
      <w:bookmarkStart w:id="25" w:name="_Ref534988937"/>
      <w:r>
        <w:t xml:space="preserve">Observation </w:t>
      </w:r>
      <w:fldSimple w:instr=" SEQ Observation \* ARABIC ">
        <w:r w:rsidR="00D1449B">
          <w:rPr>
            <w:noProof/>
          </w:rPr>
          <w:t>5</w:t>
        </w:r>
      </w:fldSimple>
      <w:r>
        <w:t>: Providing multiple Msg1 transmission opportunities is beneficial to mitigate the impact of LBT failures. However, it is not clear why the actual transmission of multiple Msg1s is needed.</w:t>
      </w:r>
      <w:bookmarkEnd w:id="25"/>
      <w:r>
        <w:t xml:space="preserve"> </w:t>
      </w:r>
    </w:p>
    <w:p w:rsidR="00611C13" w:rsidRDefault="00611C13" w:rsidP="00176EA5">
      <w:pPr>
        <w:pStyle w:val="Caption"/>
      </w:pPr>
      <w:bookmarkStart w:id="26" w:name="_Ref534989025"/>
      <w:r>
        <w:t xml:space="preserve">Proposal </w:t>
      </w:r>
      <w:fldSimple w:instr=" SEQ Proposal \* ARABIC ">
        <w:r w:rsidR="00D1449B">
          <w:rPr>
            <w:noProof/>
          </w:rPr>
          <w:t>17</w:t>
        </w:r>
      </w:fldSimple>
      <w:r>
        <w:t xml:space="preserve">:  </w:t>
      </w:r>
      <w:r w:rsidRPr="00E36230">
        <w:t>Multiple PRACH transmissions before Msg2 reception in RAR window</w:t>
      </w:r>
      <w:r>
        <w:t xml:space="preserve"> shall not be supported in NR-U.</w:t>
      </w:r>
      <w:bookmarkEnd w:id="26"/>
    </w:p>
    <w:p w:rsidR="00611C13" w:rsidRPr="00480C09" w:rsidRDefault="00611C13" w:rsidP="00611C13">
      <w:pPr>
        <w:rPr>
          <w:lang w:val="en-GB"/>
        </w:rPr>
      </w:pPr>
      <w:r>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611C13" w:rsidRDefault="00611C13" w:rsidP="00611C13">
      <w:pPr>
        <w:pStyle w:val="Caption"/>
      </w:pPr>
      <w:bookmarkStart w:id="27" w:name="_Ref534988943"/>
      <w:r>
        <w:t xml:space="preserve">Observation </w:t>
      </w:r>
      <w:fldSimple w:instr=" SEQ Observation \* ARABIC ">
        <w:r w:rsidR="00D1449B">
          <w:rPr>
            <w:noProof/>
          </w:rPr>
          <w:t>6</w:t>
        </w:r>
      </w:fldSimple>
      <w:r>
        <w:t xml:space="preserve">: </w:t>
      </w:r>
      <w:r w:rsidRPr="00EE667D">
        <w:t>Group wise SSB-to-RO mapping by frequency first-time second manner</w:t>
      </w:r>
      <w:r>
        <w:t xml:space="preserve"> seems already supported by NR PRACH configurations.</w:t>
      </w:r>
      <w:bookmarkEnd w:id="27"/>
      <w:r>
        <w:t xml:space="preserve"> </w:t>
      </w:r>
    </w:p>
    <w:p w:rsidR="00611C13" w:rsidRDefault="00611C13" w:rsidP="00611C13">
      <w:pPr>
        <w:pStyle w:val="Heading2"/>
        <w:rPr>
          <w:lang w:eastAsia="ko-KR"/>
        </w:rPr>
      </w:pPr>
      <w:r>
        <w:rPr>
          <w:lang w:eastAsia="ko-KR"/>
        </w:rPr>
        <w:t>RACH occasion validation rules</w:t>
      </w:r>
    </w:p>
    <w:p w:rsidR="00611C13" w:rsidRDefault="00611C13" w:rsidP="00611C13">
      <w:pPr>
        <w:jc w:val="both"/>
        <w:rPr>
          <w:lang w:val="en-GB" w:eastAsia="ko-KR"/>
        </w:rPr>
      </w:pPr>
      <w:r>
        <w:rPr>
          <w:lang w:val="en-GB" w:eastAsia="ko-KR"/>
        </w:rPr>
        <w:t xml:space="preserve">In NR unpaired licensed spectrum, UE needs to take the positions of SS/PBCH blocks into consideration when it determines whether or not a RACH occasion </w:t>
      </w:r>
      <w:r w:rsidRPr="003E43FB">
        <w:rPr>
          <w:lang w:val="en-GB" w:eastAsia="ko-KR"/>
        </w:rPr>
        <w:t xml:space="preserve">(time-frequency resource) </w:t>
      </w:r>
      <w:r>
        <w:rPr>
          <w:lang w:val="en-GB" w:eastAsia="ko-KR"/>
        </w:rPr>
        <w:t xml:space="preserve">is valid [Sec. 8.1 of TS 38.213]. </w:t>
      </w:r>
      <w:r w:rsidRPr="003E43FB">
        <w:rPr>
          <w:lang w:val="en-GB" w:eastAsia="ko-KR"/>
        </w:rPr>
        <w:t xml:space="preserve">In unlicensed spectrum, </w:t>
      </w:r>
      <w:r>
        <w:rPr>
          <w:lang w:val="en-GB" w:eastAsia="ko-KR"/>
        </w:rPr>
        <w:t>there are more than one possible position for gNB to transmit NR-U DRS containing SS/PBCH blocks</w:t>
      </w:r>
      <w:r w:rsidRPr="003E43FB">
        <w:rPr>
          <w:lang w:val="en-GB" w:eastAsia="ko-KR"/>
        </w:rPr>
        <w:t xml:space="preserve"> </w:t>
      </w:r>
      <w:r>
        <w:rPr>
          <w:lang w:val="en-GB" w:eastAsia="ko-KR"/>
        </w:rPr>
        <w:t>within a configured D</w:t>
      </w:r>
      <w:r w:rsidRPr="003E43FB">
        <w:rPr>
          <w:lang w:val="en-GB" w:eastAsia="ko-KR"/>
        </w:rPr>
        <w:t xml:space="preserve">MTC window. Hence, </w:t>
      </w:r>
      <w:r>
        <w:rPr>
          <w:lang w:val="en-GB" w:eastAsia="ko-KR"/>
        </w:rPr>
        <w:t xml:space="preserve">the rules about </w:t>
      </w:r>
      <w:r w:rsidRPr="003E43FB">
        <w:rPr>
          <w:lang w:val="en-GB" w:eastAsia="ko-KR"/>
        </w:rPr>
        <w:t xml:space="preserve">how to determine whether a configured RACH occasion </w:t>
      </w:r>
      <w:r>
        <w:rPr>
          <w:lang w:val="en-GB" w:eastAsia="ko-KR"/>
        </w:rPr>
        <w:t>is valid need</w:t>
      </w:r>
      <w:r w:rsidRPr="003E43FB">
        <w:rPr>
          <w:lang w:val="en-GB" w:eastAsia="ko-KR"/>
        </w:rPr>
        <w:t xml:space="preserve"> modification.</w:t>
      </w:r>
      <w:r>
        <w:rPr>
          <w:lang w:val="en-GB" w:eastAsia="ko-KR"/>
        </w:rPr>
        <w:t xml:space="preserve"> In our view, </w:t>
      </w:r>
      <w:r>
        <w:rPr>
          <w:lang w:eastAsia="ko-KR"/>
        </w:rPr>
        <w:t>i</w:t>
      </w:r>
      <w:r w:rsidRPr="009A6DC2">
        <w:rPr>
          <w:lang w:eastAsia="ko-KR"/>
        </w:rPr>
        <w:t>f the time span of a RACH occasion overlaps with t</w:t>
      </w:r>
      <w:r>
        <w:rPr>
          <w:lang w:eastAsia="ko-KR"/>
        </w:rPr>
        <w:t>he time duration of a configured DMTC window</w:t>
      </w:r>
      <w:r w:rsidRPr="009A6DC2">
        <w:rPr>
          <w:lang w:eastAsia="ko-KR"/>
        </w:rPr>
        <w:t>, then it is not regarded as a valid RACH occasion.</w:t>
      </w:r>
    </w:p>
    <w:p w:rsidR="00611C13" w:rsidRDefault="00611C13" w:rsidP="00611C13">
      <w:pPr>
        <w:pStyle w:val="Caption"/>
        <w:jc w:val="both"/>
      </w:pPr>
      <w:bookmarkStart w:id="28" w:name="_Ref534988949"/>
      <w:r>
        <w:t xml:space="preserve">Observation </w:t>
      </w:r>
      <w:fldSimple w:instr=" SEQ Observation \* ARABIC ">
        <w:r w:rsidR="00D1449B">
          <w:rPr>
            <w:noProof/>
          </w:rPr>
          <w:t>7</w:t>
        </w:r>
      </w:fldSimple>
      <w:r>
        <w:t>: In NR, the positions of SS/PBCH blocks are taken into account for determining the validation of a RACH occasion.</w:t>
      </w:r>
      <w:bookmarkEnd w:id="28"/>
      <w:r>
        <w:t xml:space="preserve"> </w:t>
      </w:r>
    </w:p>
    <w:p w:rsidR="00611C13" w:rsidRDefault="00611C13" w:rsidP="00611C13">
      <w:pPr>
        <w:pStyle w:val="Caption"/>
        <w:jc w:val="both"/>
      </w:pPr>
      <w:bookmarkStart w:id="29" w:name="_Ref534988955"/>
      <w:r>
        <w:t xml:space="preserve">Observation </w:t>
      </w:r>
      <w:fldSimple w:instr=" SEQ Observation \* ARABIC ">
        <w:r w:rsidR="00D1449B">
          <w:rPr>
            <w:noProof/>
          </w:rPr>
          <w:t>8</w:t>
        </w:r>
      </w:fldSimple>
      <w:r>
        <w:t>: In NR-U, there are more than one possible position for a SS/PBCH block within a DMTC window.</w:t>
      </w:r>
      <w:bookmarkEnd w:id="29"/>
      <w:r>
        <w:t xml:space="preserve"> </w:t>
      </w:r>
    </w:p>
    <w:p w:rsidR="00611C13" w:rsidRPr="00176EA5" w:rsidRDefault="00611C13" w:rsidP="00176EA5">
      <w:pPr>
        <w:pStyle w:val="Caption"/>
        <w:jc w:val="both"/>
      </w:pPr>
      <w:bookmarkStart w:id="30" w:name="_Ref534989056"/>
      <w:r>
        <w:t xml:space="preserve">Proposal </w:t>
      </w:r>
      <w:fldSimple w:instr=" SEQ Proposal \* ARABIC ">
        <w:r w:rsidR="00D1449B">
          <w:rPr>
            <w:noProof/>
          </w:rPr>
          <w:t>18</w:t>
        </w:r>
      </w:fldSimple>
      <w:r>
        <w:t>: In NR-U, the validation of a RACH occasion should depend on the positions of the configured DMTC window.</w:t>
      </w:r>
      <w:bookmarkEnd w:id="30"/>
    </w:p>
    <w:p w:rsidR="00611C13" w:rsidRDefault="00611C13" w:rsidP="00611C13">
      <w:pPr>
        <w:pStyle w:val="Heading2"/>
        <w:rPr>
          <w:lang w:eastAsia="ko-KR"/>
        </w:rPr>
      </w:pPr>
      <w:r>
        <w:rPr>
          <w:lang w:eastAsia="ko-KR"/>
        </w:rPr>
        <w:t>Handling systematic LBT failures in RACH</w:t>
      </w:r>
    </w:p>
    <w:tbl>
      <w:tblPr>
        <w:tblStyle w:val="TableGrid"/>
        <w:tblW w:w="0" w:type="auto"/>
        <w:tblLook w:val="04A0" w:firstRow="1" w:lastRow="0" w:firstColumn="1" w:lastColumn="0" w:noHBand="0" w:noVBand="1"/>
      </w:tblPr>
      <w:tblGrid>
        <w:gridCol w:w="9631"/>
      </w:tblGrid>
      <w:tr w:rsidR="00611C13" w:rsidTr="00EC56B7">
        <w:tc>
          <w:tcPr>
            <w:tcW w:w="9631" w:type="dxa"/>
          </w:tcPr>
          <w:p w:rsidR="00611C13" w:rsidRPr="00A80DA1" w:rsidRDefault="00611C13" w:rsidP="00EC56B7">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611C13" w:rsidRPr="00A80DA1" w:rsidRDefault="00611C13" w:rsidP="00EC56B7">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611C13" w:rsidRPr="00BE7FC1" w:rsidRDefault="00611C13" w:rsidP="00611C13">
            <w:pPr>
              <w:numPr>
                <w:ilvl w:val="0"/>
                <w:numId w:val="35"/>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611C13" w:rsidRDefault="00611C13" w:rsidP="00611C13"/>
    <w:p w:rsidR="00611C13" w:rsidRDefault="00611C13" w:rsidP="00611C13">
      <w:pPr>
        <w:jc w:val="both"/>
      </w:pPr>
      <w:r>
        <w:t xml:space="preserve">In NR licensed, the </w:t>
      </w:r>
      <w:r w:rsidRPr="006B3635">
        <w:t>PREAMBLE_TRANSMISSION_COUNTER</w:t>
      </w:r>
      <w:r>
        <w:t xml:space="preserve"> is set to 1 at RA procedure initialization. It is incremented:</w:t>
      </w:r>
    </w:p>
    <w:p w:rsidR="00611C13" w:rsidRPr="002F1DCF"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611C13" w:rsidRPr="002F1DCF"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611C13" w:rsidRDefault="00611C13" w:rsidP="00611C13">
      <w:pPr>
        <w:jc w:val="both"/>
      </w:pPr>
      <w:r>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611C13" w:rsidRDefault="00611C13" w:rsidP="00611C13">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611C13" w:rsidRDefault="00611C13" w:rsidP="00611C13">
      <w:pPr>
        <w:jc w:val="both"/>
      </w:pPr>
      <w:r w:rsidRPr="0009763D">
        <w:t xml:space="preserve">If the PREAMBLE_TRANSMISSION_COUNTER is </w:t>
      </w:r>
      <w:r>
        <w:t>incremented and the power ramping counter is not incremented for each LBT failure</w:t>
      </w:r>
      <w:r w:rsidRPr="0009763D">
        <w:t>, the preamble power may not reach its maximum value in the presence of LBT failures.</w:t>
      </w:r>
    </w:p>
    <w:p w:rsidR="00611C13" w:rsidRDefault="00611C13" w:rsidP="00611C13">
      <w:pPr>
        <w:jc w:val="both"/>
      </w:pPr>
      <w:r>
        <w:t>We therefore think that LBT failures should be evaluated separately.</w:t>
      </w:r>
    </w:p>
    <w:p w:rsidR="00611C13" w:rsidRDefault="00611C13" w:rsidP="00611C13">
      <w:pPr>
        <w:jc w:val="both"/>
      </w:pPr>
      <w:r>
        <w:lastRenderedPageBreak/>
        <w:t>To detect excessive LBT failures, one of the following mechanisms could be considered:</w:t>
      </w:r>
    </w:p>
    <w:p w:rsidR="00611C13" w:rsidRPr="003823E4"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611C13" w:rsidRPr="003823E4"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timer is started when the MAC layer instructs the physical layer to transmit the message for the first time, it is stopped when the transmission is successful, and the occurrence of excessive LBT failures is detected by the UE when the timer expires</w:t>
      </w:r>
    </w:p>
    <w:p w:rsidR="00611C13" w:rsidRDefault="00611C13" w:rsidP="00611C13">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611C13" w:rsidRDefault="00611C13" w:rsidP="00611C13">
      <w:pPr>
        <w:pStyle w:val="Caption"/>
        <w:jc w:val="both"/>
      </w:pPr>
      <w:bookmarkStart w:id="31" w:name="_Ref534989062"/>
      <w:r>
        <w:t xml:space="preserve">Proposal </w:t>
      </w:r>
      <w:fldSimple w:instr=" SEQ Proposal \* ARABIC ">
        <w:r w:rsidR="00D1449B">
          <w:rPr>
            <w:noProof/>
          </w:rPr>
          <w:t>19</w:t>
        </w:r>
      </w:fldSimple>
      <w:r w:rsidRPr="00120DD7">
        <w:t xml:space="preserve">: The UE detects excessive LBT failures for RA preamble transmissions by using a timer or a counter mechanism. Upon detection, the UE takes </w:t>
      </w:r>
      <w:r>
        <w:t xml:space="preserve">the same actions as when the </w:t>
      </w:r>
      <w:r w:rsidRPr="00120DD7">
        <w:t>PREAMBLE_TRANSMISSION_COUNTER exceeds its maximum value.</w:t>
      </w:r>
      <w:bookmarkEnd w:id="31"/>
    </w:p>
    <w:p w:rsidR="00611C13" w:rsidRDefault="00611C13" w:rsidP="00611C13">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611C13" w:rsidRDefault="00611C13" w:rsidP="00611C13">
      <w:pPr>
        <w:pStyle w:val="Caption"/>
        <w:jc w:val="both"/>
      </w:pPr>
      <w:bookmarkStart w:id="32" w:name="_Ref534989067"/>
      <w:r>
        <w:t xml:space="preserve">Proposal </w:t>
      </w:r>
      <w:fldSimple w:instr=" SEQ Proposal \* ARABIC ">
        <w:r w:rsidR="00D1449B">
          <w:rPr>
            <w:noProof/>
          </w:rPr>
          <w:t>20</w:t>
        </w:r>
      </w:fldSimple>
      <w:r>
        <w:t>: The UE detects excessive LBT failures for msg3 transmissions by using a timer or a counter mechanism. If LBT fails for m</w:t>
      </w:r>
      <w:r w:rsidRPr="004841FD">
        <w:t xml:space="preserve">sg3, the </w:t>
      </w:r>
      <w:r>
        <w:t xml:space="preserve">UE takes the </w:t>
      </w:r>
      <w:r w:rsidRPr="004841FD">
        <w:t xml:space="preserve">same actions as the </w:t>
      </w:r>
      <w:proofErr w:type="spellStart"/>
      <w:r w:rsidRPr="004841FD">
        <w:t>ra-ContentionResolutionTimer</w:t>
      </w:r>
      <w:proofErr w:type="spellEnd"/>
      <w:r w:rsidRPr="004841FD">
        <w:t xml:space="preserve"> expiry</w:t>
      </w:r>
      <w:r>
        <w:t>.</w:t>
      </w:r>
      <w:bookmarkEnd w:id="32"/>
    </w:p>
    <w:p w:rsidR="004A776C" w:rsidRPr="00F92BD7" w:rsidRDefault="004A776C" w:rsidP="00F92BD7"/>
    <w:p w:rsidR="00E02D74" w:rsidRPr="00873253" w:rsidRDefault="00DD1EC8" w:rsidP="00526F4E">
      <w:pPr>
        <w:pStyle w:val="Heading1"/>
        <w:jc w:val="both"/>
        <w:rPr>
          <w:lang w:eastAsia="zh-CN"/>
        </w:rPr>
      </w:pPr>
      <w:r>
        <w:rPr>
          <w:lang w:eastAsia="zh-CN"/>
        </w:rPr>
        <w:t>Enhancements to RLM/RRM Measurements</w:t>
      </w:r>
    </w:p>
    <w:tbl>
      <w:tblPr>
        <w:tblStyle w:val="TableGrid"/>
        <w:tblW w:w="0" w:type="auto"/>
        <w:tblLook w:val="04A0" w:firstRow="1" w:lastRow="0" w:firstColumn="1" w:lastColumn="0" w:noHBand="0" w:noVBand="1"/>
      </w:tblPr>
      <w:tblGrid>
        <w:gridCol w:w="9631"/>
      </w:tblGrid>
      <w:tr w:rsidR="00633A4F" w:rsidRPr="00873253" w:rsidTr="00633A4F">
        <w:tc>
          <w:tcPr>
            <w:tcW w:w="9631" w:type="dxa"/>
          </w:tcPr>
          <w:p w:rsidR="00633A4F" w:rsidRPr="00873253" w:rsidRDefault="00633A4F" w:rsidP="00633A4F">
            <w:pPr>
              <w:rPr>
                <w:rFonts w:ascii="Times New Roman" w:hAnsi="Times New Roman"/>
                <w:lang w:eastAsia="x-none"/>
              </w:rPr>
            </w:pPr>
            <w:r w:rsidRPr="00873253">
              <w:rPr>
                <w:rFonts w:ascii="Times New Roman" w:hAnsi="Times New Roman"/>
                <w:highlight w:val="green"/>
                <w:lang w:eastAsia="x-none"/>
              </w:rPr>
              <w:t>Agreement:</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At least the functionalities of Rel-13 LTE-LAA RSSI and channel occupancy reporting as a baseline should be supported</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 xml:space="preserve">FFS: </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Enhanced RSSI metrics, for e.g., sub-band-level interference measurements in a wideband operation scenario</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Reporting of a new medium contention/load metric other than channel occupancy</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Any modification of the parameters of the Rel-15 SMTC for operation in unlicensed spectrum</w:t>
            </w:r>
          </w:p>
        </w:tc>
      </w:tr>
    </w:tbl>
    <w:p w:rsidR="00633A4F" w:rsidRDefault="00633A4F" w:rsidP="00526F4E">
      <w:pPr>
        <w:jc w:val="both"/>
        <w:rPr>
          <w:lang w:val="en-GB" w:eastAsia="zh-CN"/>
        </w:rPr>
      </w:pPr>
    </w:p>
    <w:tbl>
      <w:tblPr>
        <w:tblStyle w:val="TableGrid"/>
        <w:tblW w:w="0" w:type="auto"/>
        <w:tblLook w:val="04A0" w:firstRow="1" w:lastRow="0" w:firstColumn="1" w:lastColumn="0" w:noHBand="0" w:noVBand="1"/>
      </w:tblPr>
      <w:tblGrid>
        <w:gridCol w:w="9631"/>
      </w:tblGrid>
      <w:tr w:rsidR="00DA5800" w:rsidRPr="00873253" w:rsidTr="00DA5800">
        <w:tc>
          <w:tcPr>
            <w:tcW w:w="9631" w:type="dxa"/>
          </w:tcPr>
          <w:p w:rsidR="00DA5800" w:rsidRPr="00873253" w:rsidRDefault="00DA5800" w:rsidP="00DA5800">
            <w:pPr>
              <w:rPr>
                <w:rFonts w:ascii="Times New Roman" w:hAnsi="Times New Roman"/>
                <w:lang w:eastAsia="x-none"/>
              </w:rPr>
            </w:pPr>
            <w:r w:rsidRPr="00873253">
              <w:rPr>
                <w:rFonts w:ascii="Times New Roman" w:hAnsi="Times New Roman"/>
                <w:highlight w:val="green"/>
                <w:lang w:eastAsia="x-none"/>
              </w:rPr>
              <w:t>Agreement:</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 RLM measurement window for serving cell RLM measurements based on SSBs in the DRS is supported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How RLM measurement window is indicated or determined and relation to DRS transmission window</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Whether or not an SSB can fall outside the measurement window and, if so, whether it can be used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Any relationship of RLM measurements based on CSI-RS to the measurement window.</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Mechanism to handle missing RLM-RS due to LBT failure</w:t>
            </w:r>
          </w:p>
        </w:tc>
      </w:tr>
    </w:tbl>
    <w:p w:rsidR="00DA5800" w:rsidRDefault="00DA5800" w:rsidP="00526F4E">
      <w:pPr>
        <w:jc w:val="both"/>
        <w:rPr>
          <w:lang w:val="en-GB" w:eastAsia="zh-CN"/>
        </w:rPr>
      </w:pPr>
    </w:p>
    <w:tbl>
      <w:tblPr>
        <w:tblStyle w:val="TableGrid"/>
        <w:tblW w:w="0" w:type="auto"/>
        <w:tblLook w:val="04A0" w:firstRow="1" w:lastRow="0" w:firstColumn="1" w:lastColumn="0" w:noHBand="0" w:noVBand="1"/>
      </w:tblPr>
      <w:tblGrid>
        <w:gridCol w:w="9631"/>
      </w:tblGrid>
      <w:tr w:rsidR="00C204DE" w:rsidRPr="00873253" w:rsidTr="00C204DE">
        <w:tc>
          <w:tcPr>
            <w:tcW w:w="9631" w:type="dxa"/>
          </w:tcPr>
          <w:p w:rsidR="00C204DE" w:rsidRPr="00873253" w:rsidRDefault="00C204DE" w:rsidP="00C204DE">
            <w:pPr>
              <w:rPr>
                <w:rFonts w:ascii="Times New Roman" w:hAnsi="Times New Roman"/>
              </w:rPr>
            </w:pPr>
            <w:r w:rsidRPr="00873253">
              <w:rPr>
                <w:rFonts w:ascii="Times New Roman" w:hAnsi="Times New Roman"/>
                <w:highlight w:val="green"/>
              </w:rPr>
              <w:t>Agreement:</w:t>
            </w:r>
          </w:p>
          <w:p w:rsidR="00C204DE" w:rsidRPr="00E70B9E" w:rsidRDefault="00C204DE" w:rsidP="00C204DE">
            <w:pPr>
              <w:snapToGrid w:val="0"/>
              <w:jc w:val="both"/>
              <w:rPr>
                <w:rFonts w:ascii="Times New Roman" w:hAnsi="Times New Roman"/>
              </w:rPr>
            </w:pPr>
            <w:r w:rsidRPr="00E70B9E">
              <w:rPr>
                <w:rFonts w:ascii="Times New Roman" w:hAnsi="Times New Roman"/>
              </w:rPr>
              <w:t>For SSB-based RLM, UE may assume the RLM measurement window to be the same as the DRS transmission window.</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E70B9E">
              <w:rPr>
                <w:rFonts w:ascii="Times New Roman" w:hAnsi="Times New Roman"/>
                <w:sz w:val="20"/>
                <w:szCs w:val="20"/>
              </w:rPr>
              <w:t>Note: This implies that the SSB-based RLM-RS cannot fall outside the measurement window</w:t>
            </w:r>
            <w:r w:rsidRPr="00873253">
              <w:rPr>
                <w:rFonts w:ascii="Times New Roman" w:hAnsi="Times New Roman"/>
                <w:sz w:val="20"/>
                <w:szCs w:val="20"/>
              </w:rPr>
              <w:t xml:space="preserve"> </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873253">
              <w:rPr>
                <w:rFonts w:ascii="Times New Roman" w:hAnsi="Times New Roman"/>
                <w:sz w:val="20"/>
                <w:szCs w:val="20"/>
              </w:rPr>
              <w:t>FFS: Whether and how DRS transmission window is configured to the UE</w:t>
            </w:r>
          </w:p>
        </w:tc>
      </w:tr>
    </w:tbl>
    <w:p w:rsidR="001963A1" w:rsidRPr="00285B20" w:rsidRDefault="001963A1" w:rsidP="00285B20"/>
    <w:p w:rsidR="005C2B53" w:rsidRDefault="007A5D89" w:rsidP="009C14D4">
      <w:r>
        <w:t>The RS supported for RLM/RRM measurements in NR R15 can be SSBs, CSI-RSs, or a mix</w:t>
      </w:r>
      <w:r w:rsidR="006A6BFA">
        <w:t>ture</w:t>
      </w:r>
      <w:r>
        <w:t xml:space="preserve"> of SSBs and CSI-RSs. The configured R</w:t>
      </w:r>
      <w:r w:rsidR="006A6BFA">
        <w:t xml:space="preserve">S is transmitted periodically. Similar to other transmissions, however, transmission of reference signals are subject to LBT and hence the presence cannot be guaranteed. </w:t>
      </w:r>
      <w:r w:rsidR="00023AF9">
        <w:t xml:space="preserve">How to handle missing measurements due to </w:t>
      </w:r>
      <w:r w:rsidR="00023AF9">
        <w:lastRenderedPageBreak/>
        <w:t xml:space="preserve">LBT failure becomes a problem in NR-U. </w:t>
      </w:r>
      <w:r w:rsidR="00141FF5">
        <w:t xml:space="preserve">Specifically, </w:t>
      </w:r>
      <w:r w:rsidR="00631EDC">
        <w:t xml:space="preserve">if UE cannot tell missing measurements due to LBT failure from those measurements from bad link quality, it would use all measurements for L1/L3 filtering. Then, the measurements cannot truthfully reflect the channel quality only because they are impacted by missing measurements when the RSs are actually not transmitted by the base station due to LBT failure. </w:t>
      </w:r>
      <w:r w:rsidR="00CB76CC">
        <w:t xml:space="preserve">On the other hand, </w:t>
      </w:r>
      <w:r w:rsidR="00E829CC">
        <w:t xml:space="preserve">the purpose of measurements is for UE to be able to select a serving cell that it has good communication quality. If a carrier is congested very severely, should the UE continue to stay in that carrier even when the link quality is good? </w:t>
      </w:r>
      <w:r w:rsidR="008F5B18">
        <w:t xml:space="preserve">In our opinion, </w:t>
      </w:r>
      <w:r w:rsidR="002815E7">
        <w:t>the functionality</w:t>
      </w:r>
      <w:r w:rsidR="008F5B18">
        <w:t xml:space="preserve"> of RLM/RRM </w:t>
      </w:r>
      <w:r w:rsidR="002815E7">
        <w:t xml:space="preserve">measurements </w:t>
      </w:r>
      <w:r w:rsidR="008F5B18">
        <w:t xml:space="preserve">should be extended in NR-U to reflect not only channel quality but also channel availability. </w:t>
      </w:r>
      <w:r w:rsidR="002815E7">
        <w:t xml:space="preserve">Then an important question would be whether or not it is feasible for UE to distinguish between missing RS due to LBT failure and not detecting RS due to bad link condition. </w:t>
      </w:r>
    </w:p>
    <w:p w:rsidR="00631EDC" w:rsidRDefault="002815E7" w:rsidP="002815E7">
      <w:pPr>
        <w:pStyle w:val="Caption"/>
      </w:pPr>
      <w:bookmarkStart w:id="33" w:name="_Ref16919362"/>
      <w:r>
        <w:t xml:space="preserve">Proposal </w:t>
      </w:r>
      <w:fldSimple w:instr=" SEQ Proposal \* ARABIC ">
        <w:r w:rsidR="00D1449B">
          <w:rPr>
            <w:noProof/>
          </w:rPr>
          <w:t>21</w:t>
        </w:r>
      </w:fldSimple>
      <w:r>
        <w:t xml:space="preserve">: Discuss whether to extend the functionality of RLM/RRM in NR-U to reflect not only link quality but also link availability. </w:t>
      </w:r>
      <w:r w:rsidR="000F44C6">
        <w:t>If yes, how?</w:t>
      </w:r>
      <w:bookmarkEnd w:id="33"/>
      <w:r w:rsidR="000F44C6">
        <w:t xml:space="preserve"> </w:t>
      </w:r>
    </w:p>
    <w:p w:rsidR="002815E7" w:rsidRPr="002815E7" w:rsidRDefault="000F44C6" w:rsidP="000F44C6">
      <w:pPr>
        <w:pStyle w:val="Caption"/>
      </w:pPr>
      <w:bookmarkStart w:id="34" w:name="_Ref16919388"/>
      <w:r>
        <w:t xml:space="preserve">Proposal </w:t>
      </w:r>
      <w:fldSimple w:instr=" SEQ Proposal \* ARABIC ">
        <w:r w:rsidR="00D1449B">
          <w:rPr>
            <w:noProof/>
          </w:rPr>
          <w:t>22</w:t>
        </w:r>
      </w:fldSimple>
      <w:r>
        <w:t>: Discuss whether it is feasible for UE to distinguish between missing RS due to LBT failure and not detecting RS due to bad link condition.</w:t>
      </w:r>
      <w:bookmarkEnd w:id="34"/>
      <w:r>
        <w:t xml:space="preserve"> </w:t>
      </w:r>
    </w:p>
    <w:p w:rsidR="00447605" w:rsidRDefault="00447605" w:rsidP="00447605"/>
    <w:p w:rsidR="001D344F" w:rsidRDefault="00EF3DE8" w:rsidP="00EF3DE8">
      <w:pPr>
        <w:pStyle w:val="Heading2"/>
      </w:pPr>
      <w:r>
        <w:t>RLM measurements</w:t>
      </w:r>
    </w:p>
    <w:p w:rsidR="00054918" w:rsidRDefault="00A46773" w:rsidP="00EF3DE8">
      <w:pPr>
        <w:rPr>
          <w:lang w:val="en-GB"/>
        </w:rPr>
      </w:pPr>
      <w:r>
        <w:rPr>
          <w:lang w:val="en-GB"/>
        </w:rPr>
        <w:t xml:space="preserve">In NR R15, if a UE is configured with more than one RLM-RS resource for in-sync and out-of-sync evaluation, UE indicates out-of-sync to higher layers if all the RLM-RS resources are below </w:t>
      </w:r>
      <w:proofErr w:type="spellStart"/>
      <w:r>
        <w:rPr>
          <w:lang w:val="en-GB"/>
        </w:rPr>
        <w:t>Qout</w:t>
      </w:r>
      <w:proofErr w:type="spellEnd"/>
      <w:r>
        <w:rPr>
          <w:lang w:val="en-GB"/>
        </w:rPr>
        <w:t xml:space="preserve"> while UE indicates in-sync if any of the RLM-RS resource is above Qin. In this way, it can prevent UE from triggering radio link failure too often. In this section, we focus on the discussion of SSB-based RLM measurements. </w:t>
      </w:r>
      <w:r w:rsidR="0075308C">
        <w:rPr>
          <w:lang w:val="en-GB"/>
        </w:rPr>
        <w:t>With the protection of DRS windows, the chances of SSBs not being transmitted due to LBT failure in all candidate transmission positions should be low. However, since the maximum DRS transmission window is only 5msec, it is still possible that gNB has failed to pass LBT for all SSB candidate positions within a DRS transmission window for example when a neighbouring gNB has acquired the channel access wit</w:t>
      </w:r>
      <w:r>
        <w:rPr>
          <w:lang w:val="en-GB"/>
        </w:rPr>
        <w:t xml:space="preserve">h a channel occupancy of a duration longer than 5ms. </w:t>
      </w:r>
    </w:p>
    <w:p w:rsidR="00054918" w:rsidRDefault="00054918" w:rsidP="00054918">
      <w:pPr>
        <w:jc w:val="center"/>
      </w:pPr>
      <w:r>
        <w:object w:dxaOrig="11190" w:dyaOrig="4810">
          <v:shape id="_x0000_i1041" type="#_x0000_t75" style="width:422pt;height:179.8pt" o:ole="">
            <v:imagedata r:id="rId33" o:title=""/>
          </v:shape>
          <o:OLEObject Type="Embed" ProgID="Visio.Drawing.15" ShapeID="_x0000_i1041" DrawAspect="Content" ObjectID="_1627535479" r:id="rId34"/>
        </w:object>
      </w:r>
    </w:p>
    <w:p w:rsidR="00054918" w:rsidRPr="008A6649" w:rsidRDefault="00054918" w:rsidP="00054918">
      <w:pPr>
        <w:pStyle w:val="Caption"/>
        <w:rPr>
          <w:b w:val="0"/>
        </w:rPr>
      </w:pPr>
      <w:bookmarkStart w:id="35" w:name="_Ref16913559"/>
      <w:r w:rsidRPr="008A6649">
        <w:rPr>
          <w:b w:val="0"/>
        </w:rPr>
        <w:t xml:space="preserve">Figure </w:t>
      </w:r>
      <w:r w:rsidR="0064001A" w:rsidRPr="008A6649">
        <w:rPr>
          <w:b w:val="0"/>
        </w:rPr>
        <w:fldChar w:fldCharType="begin"/>
      </w:r>
      <w:r w:rsidR="0064001A" w:rsidRPr="008A6649">
        <w:rPr>
          <w:b w:val="0"/>
        </w:rPr>
        <w:instrText xml:space="preserve"> SEQ Figure \* ARABIC </w:instrText>
      </w:r>
      <w:r w:rsidR="0064001A" w:rsidRPr="008A6649">
        <w:rPr>
          <w:b w:val="0"/>
        </w:rPr>
        <w:fldChar w:fldCharType="separate"/>
      </w:r>
      <w:r w:rsidR="00D1449B">
        <w:rPr>
          <w:b w:val="0"/>
          <w:noProof/>
        </w:rPr>
        <w:t>1</w:t>
      </w:r>
      <w:r w:rsidR="0064001A" w:rsidRPr="008A6649">
        <w:rPr>
          <w:b w:val="0"/>
          <w:noProof/>
        </w:rPr>
        <w:fldChar w:fldCharType="end"/>
      </w:r>
      <w:bookmarkEnd w:id="35"/>
      <w:r w:rsidRPr="008A6649">
        <w:rPr>
          <w:b w:val="0"/>
        </w:rPr>
        <w:t xml:space="preserve">: Example of RLM evaluation. Note the evaluation periods are different for in-sync and out-of-sync evaluations. </w:t>
      </w:r>
    </w:p>
    <w:p w:rsidR="00054918" w:rsidRDefault="00054918" w:rsidP="00054918"/>
    <w:p w:rsidR="00903C95" w:rsidRDefault="00566EB8" w:rsidP="00EF3DE8">
      <w:r>
        <w:t xml:space="preserve">In </w:t>
      </w:r>
      <w:r>
        <w:fldChar w:fldCharType="begin"/>
      </w:r>
      <w:r>
        <w:instrText xml:space="preserve"> REF _Ref16913559 \h </w:instrText>
      </w:r>
      <w:r>
        <w:fldChar w:fldCharType="separate"/>
      </w:r>
      <w:r w:rsidR="00D1449B" w:rsidRPr="008A6649">
        <w:t xml:space="preserve">Figure </w:t>
      </w:r>
      <w:r w:rsidR="00D1449B">
        <w:rPr>
          <w:b/>
          <w:noProof/>
        </w:rPr>
        <w:t>1</w:t>
      </w:r>
      <w:r>
        <w:fldChar w:fldCharType="end"/>
      </w:r>
      <w:r>
        <w:t xml:space="preserve">, we illustrate RLM evaluation with a single RLM-RS resource. To improve measurement accuracy, measurements within the sliding window duration are all taken into account by the L1 filtering. Note the evaluation periods for out-of-sync evaluation and in-sync evaluation are different since the SINR ranges of interest are different. </w:t>
      </w:r>
      <w:r w:rsidR="004C7599">
        <w:t xml:space="preserve">Each RLM-RS in </w:t>
      </w:r>
      <w:r w:rsidR="004C7599">
        <w:fldChar w:fldCharType="begin"/>
      </w:r>
      <w:r w:rsidR="004C7599">
        <w:instrText xml:space="preserve"> REF _Ref16913559 \h </w:instrText>
      </w:r>
      <w:r w:rsidR="004C7599">
        <w:fldChar w:fldCharType="separate"/>
      </w:r>
      <w:r w:rsidR="00D1449B" w:rsidRPr="008A6649">
        <w:t xml:space="preserve">Figure </w:t>
      </w:r>
      <w:r w:rsidR="00D1449B">
        <w:rPr>
          <w:b/>
          <w:noProof/>
        </w:rPr>
        <w:t>1</w:t>
      </w:r>
      <w:r w:rsidR="004C7599">
        <w:fldChar w:fldCharType="end"/>
      </w:r>
      <w:r w:rsidR="004C7599">
        <w:t xml:space="preserve"> is represented by a DRS </w:t>
      </w:r>
      <w:proofErr w:type="spellStart"/>
      <w:proofErr w:type="gramStart"/>
      <w:r w:rsidR="004C7599">
        <w:t>tx</w:t>
      </w:r>
      <w:proofErr w:type="spellEnd"/>
      <w:proofErr w:type="gramEnd"/>
      <w:r w:rsidR="004C7599">
        <w:t xml:space="preserve"> window in </w:t>
      </w:r>
      <w:r w:rsidR="004C7599">
        <w:fldChar w:fldCharType="begin"/>
      </w:r>
      <w:r w:rsidR="004C7599">
        <w:instrText xml:space="preserve"> REF _Ref16664716 \h </w:instrText>
      </w:r>
      <w:r w:rsidR="004C7599">
        <w:fldChar w:fldCharType="separate"/>
      </w:r>
      <w:r w:rsidR="00D1449B" w:rsidRPr="004C7599">
        <w:t xml:space="preserve">Figure </w:t>
      </w:r>
      <w:r w:rsidR="00D1449B">
        <w:rPr>
          <w:noProof/>
        </w:rPr>
        <w:t>2</w:t>
      </w:r>
      <w:r w:rsidR="004C7599">
        <w:fldChar w:fldCharType="end"/>
      </w:r>
      <w:r w:rsidR="004C7599">
        <w:t xml:space="preserve"> and</w:t>
      </w:r>
      <w:r w:rsidR="004C7599" w:rsidRPr="002C1BC4">
        <w:t xml:space="preserve"> </w:t>
      </w:r>
      <w:r w:rsidR="002C1BC4" w:rsidRPr="002C1BC4">
        <w:fldChar w:fldCharType="begin"/>
      </w:r>
      <w:r w:rsidR="002C1BC4" w:rsidRPr="002C1BC4">
        <w:instrText xml:space="preserve"> REF _Ref16664727 \h  \* MERGEFORMAT </w:instrText>
      </w:r>
      <w:r w:rsidR="002C1BC4" w:rsidRPr="002C1BC4">
        <w:fldChar w:fldCharType="separate"/>
      </w:r>
      <w:r w:rsidR="00D1449B" w:rsidRPr="004C7599">
        <w:t xml:space="preserve">Figure </w:t>
      </w:r>
      <w:r w:rsidR="00D1449B" w:rsidRPr="00D1449B">
        <w:rPr>
          <w:noProof/>
        </w:rPr>
        <w:t>3</w:t>
      </w:r>
      <w:r w:rsidR="002C1BC4" w:rsidRPr="002C1BC4">
        <w:fldChar w:fldCharType="end"/>
      </w:r>
      <w:r w:rsidR="002C1BC4">
        <w:t xml:space="preserve"> where we have assumed</w:t>
      </w:r>
      <w:r w:rsidR="002C1BC4" w:rsidRPr="00FB0CD1">
        <w:t xml:space="preserve"> there are five candidate positions for this SSB within a DRS transmission window and at most one of them is actually used for </w:t>
      </w:r>
      <w:r w:rsidR="002C1BC4">
        <w:t xml:space="preserve">the SSB </w:t>
      </w:r>
      <w:r w:rsidR="002C1BC4" w:rsidRPr="00FB0CD1">
        <w:t xml:space="preserve">transmission </w:t>
      </w:r>
      <w:r w:rsidR="002C1BC4">
        <w:t xml:space="preserve">which is </w:t>
      </w:r>
      <w:r w:rsidR="002C1BC4" w:rsidRPr="00FB0CD1">
        <w:t>subject to LBT.</w:t>
      </w:r>
      <w:r w:rsidR="002C1BC4">
        <w:t xml:space="preserve"> When the channel is in a good SINR condition, it is more likely for UE to determine whether SSBs are successfully transmitted during one DRS transmission window. In other words, it is more likely for UE to rule out invalid measurements as Measurement 3 in </w:t>
      </w:r>
      <w:r w:rsidR="002C1BC4">
        <w:fldChar w:fldCharType="begin"/>
      </w:r>
      <w:r w:rsidR="002C1BC4">
        <w:instrText xml:space="preserve"> REF _Ref16664716 \h </w:instrText>
      </w:r>
      <w:r w:rsidR="002C1BC4">
        <w:fldChar w:fldCharType="separate"/>
      </w:r>
      <w:r w:rsidR="00D1449B" w:rsidRPr="004C7599">
        <w:t xml:space="preserve">Figure </w:t>
      </w:r>
      <w:r w:rsidR="00D1449B">
        <w:rPr>
          <w:noProof/>
        </w:rPr>
        <w:t>2</w:t>
      </w:r>
      <w:r w:rsidR="002C1BC4">
        <w:fldChar w:fldCharType="end"/>
      </w:r>
      <w:r w:rsidR="002C1BC4">
        <w:t xml:space="preserve">. Since the target SINR scenario of in-sync evaluation is high SINR, we think UE should be allowed to rule out measurements that are reliably determined as invalid measurements. </w:t>
      </w:r>
    </w:p>
    <w:p w:rsidR="002C1BC4" w:rsidRDefault="002C1BC4" w:rsidP="002C1BC4">
      <w:pPr>
        <w:pStyle w:val="Caption"/>
      </w:pPr>
      <w:bookmarkStart w:id="36" w:name="_Ref16919167"/>
      <w:r>
        <w:t xml:space="preserve">Observation </w:t>
      </w:r>
      <w:fldSimple w:instr=" SEQ Observation \* ARABIC ">
        <w:r w:rsidR="00D1449B">
          <w:rPr>
            <w:noProof/>
          </w:rPr>
          <w:t>9</w:t>
        </w:r>
      </w:fldSimple>
      <w:r>
        <w:t>: It is more likely for UE to determine whether SSBs are successfully transmitted during one DRS transmission window in a high SINR condition than in a low SINR condition.</w:t>
      </w:r>
      <w:bookmarkEnd w:id="36"/>
      <w:r>
        <w:t xml:space="preserve"> </w:t>
      </w:r>
    </w:p>
    <w:p w:rsidR="002C1BC4" w:rsidRPr="00D56419" w:rsidRDefault="002C1BC4" w:rsidP="002C1BC4">
      <w:pPr>
        <w:pStyle w:val="Caption"/>
      </w:pPr>
      <w:bookmarkStart w:id="37" w:name="_Ref16919173"/>
      <w:r>
        <w:lastRenderedPageBreak/>
        <w:t xml:space="preserve">Observation </w:t>
      </w:r>
      <w:fldSimple w:instr=" SEQ Observation \* ARABIC ">
        <w:r w:rsidR="00D1449B">
          <w:rPr>
            <w:noProof/>
          </w:rPr>
          <w:t>10</w:t>
        </w:r>
      </w:fldSimple>
      <w:r>
        <w:t>: In high SINR, UE may be able to rule out missing measurements due to LBT failure.</w:t>
      </w:r>
      <w:bookmarkEnd w:id="37"/>
      <w:r>
        <w:t xml:space="preserve"> </w:t>
      </w:r>
    </w:p>
    <w:p w:rsidR="002C1BC4" w:rsidRDefault="002C1BC4" w:rsidP="002C1BC4">
      <w:pPr>
        <w:pStyle w:val="Caption"/>
      </w:pPr>
      <w:bookmarkStart w:id="38" w:name="_Ref16919398"/>
      <w:r>
        <w:t xml:space="preserve">Proposal </w:t>
      </w:r>
      <w:fldSimple w:instr=" SEQ Proposal \* ARABIC ">
        <w:r w:rsidR="00D1449B">
          <w:rPr>
            <w:noProof/>
          </w:rPr>
          <w:t>23</w:t>
        </w:r>
      </w:fldSimple>
      <w:r>
        <w:t xml:space="preserve">: For SSB-based RLM in-sync evaluation, UE may use measurements from </w:t>
      </w:r>
      <w:r w:rsidRPr="00C008BA">
        <w:rPr>
          <w:i/>
        </w:rPr>
        <w:t>only some</w:t>
      </w:r>
      <w:r>
        <w:t xml:space="preserve"> of the DRS transmission windows within the evaluation period for L1 filtering.</w:t>
      </w:r>
      <w:bookmarkEnd w:id="38"/>
    </w:p>
    <w:p w:rsidR="002C1BC4" w:rsidRPr="00150464" w:rsidRDefault="002C1BC4" w:rsidP="002C1BC4">
      <w:pPr>
        <w:pStyle w:val="Caption"/>
        <w:numPr>
          <w:ilvl w:val="0"/>
          <w:numId w:val="20"/>
        </w:numPr>
      </w:pPr>
      <w:r>
        <w:t>FFS: Which and the number of DRS transmission windows to be used</w:t>
      </w:r>
    </w:p>
    <w:p w:rsidR="002C1BC4" w:rsidRDefault="002C1BC4" w:rsidP="002C1BC4">
      <w:pPr>
        <w:pStyle w:val="Caption"/>
        <w:numPr>
          <w:ilvl w:val="0"/>
          <w:numId w:val="20"/>
        </w:numPr>
      </w:pPr>
      <w:r>
        <w:t>Note: It is up to RAN4 to decide whether and how the evaluation period is extended if not all DRS transmission windows are taken into consideration for L1 filtering.</w:t>
      </w:r>
    </w:p>
    <w:p w:rsidR="003E29BC" w:rsidRDefault="003E29BC" w:rsidP="003E29BC"/>
    <w:p w:rsidR="003E29BC" w:rsidRDefault="003E29BC" w:rsidP="003E29BC">
      <w:r>
        <w:object w:dxaOrig="15930" w:dyaOrig="4200">
          <v:shape id="_x0000_i1042" type="#_x0000_t75" style="width:478.6pt;height:128.2pt;mso-position-vertical:absolute" o:ole="">
            <v:imagedata r:id="rId35" o:title=""/>
          </v:shape>
          <o:OLEObject Type="Embed" ProgID="Visio.Drawing.15" ShapeID="_x0000_i1042" DrawAspect="Content" ObjectID="_1627535480" r:id="rId36"/>
        </w:object>
      </w:r>
    </w:p>
    <w:p w:rsidR="003E29BC" w:rsidRPr="004C7599" w:rsidRDefault="003E29BC" w:rsidP="003E29BC">
      <w:bookmarkStart w:id="39" w:name="_Ref16664716"/>
      <w:r w:rsidRPr="004C7599">
        <w:t xml:space="preserve">Figure </w:t>
      </w:r>
      <w:fldSimple w:instr=" SEQ Figure \* ARABIC ">
        <w:r w:rsidR="00D1449B">
          <w:rPr>
            <w:noProof/>
          </w:rPr>
          <w:t>2</w:t>
        </w:r>
      </w:fldSimple>
      <w:bookmarkEnd w:id="39"/>
      <w:r w:rsidRPr="004C7599">
        <w:t>: Presence and signal strength of an RLM-RS, i.e. an SSB in this case, configured for RLM measurements in all its candidate positions during the RLM evaluation period in a high SINR scenario. In this example, only measurements 1, 2, 4, and 5 are used for L1 filtering for in-sync evaluation assuming that UE can determine measurement 3 is invalid because the configured SSB is not transmitted in the DRS transmission window at time t3 due to LBT failure.</w:t>
      </w:r>
    </w:p>
    <w:p w:rsidR="00903C95" w:rsidRDefault="00903C95" w:rsidP="00EF3DE8"/>
    <w:p w:rsidR="002C1BC4" w:rsidRDefault="002C1BC4" w:rsidP="002C1BC4">
      <w:r>
        <w:t>On the oth</w:t>
      </w:r>
      <w:r w:rsidR="00FA12BA">
        <w:t>er hand, i</w:t>
      </w:r>
      <w:r w:rsidR="00FA12BA" w:rsidRPr="00FA12BA">
        <w:t>t is not clear whether UE can always determine the presence of an SSB configured for measurements in all different SINR scenarios, especially at a low SINR condition</w:t>
      </w:r>
      <w:r w:rsidR="00FA12BA">
        <w:t xml:space="preserve">. If the reliability of determination the presence of RS is high, then UE of course can use measurements that are determined as valid for L1 filtering. But if it is not feasible especially in low SINR condition which is the target SINR range for out-of-sync evaluation, then measurements from all the transmission windows are taken into L1 filtering. If all the SSBs configured for RLM measurements are blow </w:t>
      </w:r>
      <w:proofErr w:type="spellStart"/>
      <w:r w:rsidR="00FA12BA">
        <w:t>Qout</w:t>
      </w:r>
      <w:proofErr w:type="spellEnd"/>
      <w:r w:rsidR="00FA12BA">
        <w:t xml:space="preserve"> in all their candidate positions within the out-of-sync evaluation period, UE indicates OOS to its higher layers. </w:t>
      </w:r>
    </w:p>
    <w:p w:rsidR="002C1BC4" w:rsidRDefault="002C1BC4" w:rsidP="002C1BC4">
      <w:pPr>
        <w:pStyle w:val="Caption"/>
      </w:pPr>
      <w:bookmarkStart w:id="40" w:name="_Ref16919408"/>
      <w:r>
        <w:t xml:space="preserve">Proposal </w:t>
      </w:r>
      <w:fldSimple w:instr=" SEQ Proposal \* ARABIC ">
        <w:r w:rsidR="00D1449B">
          <w:rPr>
            <w:noProof/>
          </w:rPr>
          <w:t>24</w:t>
        </w:r>
      </w:fldSimple>
      <w:r>
        <w:t>: For SSB-based RLM out-of-sync evaluation, depending on whether or not it is feasible for UE to distinguish the two cases between DTX of SSB due to LBT failure and not detecting SSB due to bad link quality, we have the following proposals.</w:t>
      </w:r>
      <w:bookmarkEnd w:id="40"/>
    </w:p>
    <w:p w:rsidR="002C1BC4" w:rsidRDefault="002C1BC4" w:rsidP="002C1BC4">
      <w:pPr>
        <w:pStyle w:val="Caption"/>
        <w:numPr>
          <w:ilvl w:val="0"/>
          <w:numId w:val="20"/>
        </w:numPr>
      </w:pPr>
      <w:r>
        <w:t xml:space="preserve">If it is feasible, UE may use measurements from </w:t>
      </w:r>
      <w:r w:rsidRPr="000F2041">
        <w:rPr>
          <w:i/>
        </w:rPr>
        <w:t>only some</w:t>
      </w:r>
      <w:r>
        <w:t xml:space="preserve"> of the DRS transmission windows within the out-of-sync evaluation period for L1 filtering.</w:t>
      </w:r>
    </w:p>
    <w:p w:rsidR="002C1BC4" w:rsidRDefault="002C1BC4" w:rsidP="002C1BC4">
      <w:pPr>
        <w:pStyle w:val="Caption"/>
        <w:numPr>
          <w:ilvl w:val="1"/>
          <w:numId w:val="20"/>
        </w:numPr>
      </w:pPr>
      <w:r>
        <w:t xml:space="preserve">Note: It is up to RAN4 to decide whether and how the out-of-sync evaluation period is extended. </w:t>
      </w:r>
    </w:p>
    <w:p w:rsidR="002C1BC4" w:rsidRDefault="002C1BC4" w:rsidP="00EF3DE8">
      <w:pPr>
        <w:pStyle w:val="Caption"/>
        <w:numPr>
          <w:ilvl w:val="0"/>
          <w:numId w:val="20"/>
        </w:numPr>
      </w:pPr>
      <w:r>
        <w:t xml:space="preserve">If it is not feasible, UE indicates OOS to higher layer when </w:t>
      </w:r>
      <w:r w:rsidRPr="000F2041">
        <w:t>all the SSBs configured for RLM measurem</w:t>
      </w:r>
      <w:r>
        <w:t xml:space="preserve">ents are </w:t>
      </w:r>
      <w:r w:rsidRPr="000F2041">
        <w:t xml:space="preserve">below </w:t>
      </w:r>
      <w:proofErr w:type="spellStart"/>
      <w:r w:rsidRPr="000F2041">
        <w:t>Qout</w:t>
      </w:r>
      <w:proofErr w:type="spellEnd"/>
      <w:r w:rsidRPr="000F2041">
        <w:t xml:space="preserve"> in all their candidate positions within the out-of-</w:t>
      </w:r>
      <w:r>
        <w:t>sync evaluation period</w:t>
      </w:r>
      <w:r w:rsidRPr="000F2041">
        <w:t>.</w:t>
      </w:r>
    </w:p>
    <w:p w:rsidR="003E29BC" w:rsidRDefault="003E29BC" w:rsidP="00EF3DE8"/>
    <w:p w:rsidR="003E29BC" w:rsidRDefault="003E29BC" w:rsidP="003E29BC">
      <w:r>
        <w:object w:dxaOrig="15930" w:dyaOrig="4330">
          <v:shape id="_x0000_i1043" type="#_x0000_t75" style="width:478.6pt;height:128.6pt" o:ole="">
            <v:imagedata r:id="rId37" o:title=""/>
          </v:shape>
          <o:OLEObject Type="Embed" ProgID="Visio.Drawing.15" ShapeID="_x0000_i1043" DrawAspect="Content" ObjectID="_1627535481" r:id="rId38"/>
        </w:object>
      </w:r>
    </w:p>
    <w:p w:rsidR="003E29BC" w:rsidRPr="008A6649" w:rsidRDefault="003E29BC" w:rsidP="008A6649">
      <w:pPr>
        <w:pStyle w:val="Caption"/>
        <w:rPr>
          <w:b w:val="0"/>
        </w:rPr>
      </w:pPr>
      <w:bookmarkStart w:id="41" w:name="_Ref16664727"/>
      <w:r w:rsidRPr="004C7599">
        <w:rPr>
          <w:b w:val="0"/>
        </w:rPr>
        <w:lastRenderedPageBreak/>
        <w:t xml:space="preserve">Figure </w:t>
      </w:r>
      <w:r w:rsidR="0064001A" w:rsidRPr="004C7599">
        <w:rPr>
          <w:b w:val="0"/>
        </w:rPr>
        <w:fldChar w:fldCharType="begin"/>
      </w:r>
      <w:r w:rsidR="0064001A" w:rsidRPr="004C7599">
        <w:rPr>
          <w:b w:val="0"/>
        </w:rPr>
        <w:instrText xml:space="preserve"> SEQ Figure \* ARABIC </w:instrText>
      </w:r>
      <w:r w:rsidR="0064001A" w:rsidRPr="004C7599">
        <w:rPr>
          <w:b w:val="0"/>
        </w:rPr>
        <w:fldChar w:fldCharType="separate"/>
      </w:r>
      <w:r w:rsidR="00D1449B">
        <w:rPr>
          <w:b w:val="0"/>
          <w:noProof/>
        </w:rPr>
        <w:t>3</w:t>
      </w:r>
      <w:r w:rsidR="0064001A" w:rsidRPr="004C7599">
        <w:rPr>
          <w:b w:val="0"/>
          <w:noProof/>
        </w:rPr>
        <w:fldChar w:fldCharType="end"/>
      </w:r>
      <w:bookmarkEnd w:id="41"/>
      <w:r w:rsidRPr="004C7599">
        <w:rPr>
          <w:b w:val="0"/>
        </w:rPr>
        <w:t xml:space="preserve">: Presence and signal strength of an RLM-RS, i.e. an SSB in this case, configured for RLM measurements in all its candidate positions during the RLM evaluation period a low SINR scenario. In this example, all measurements 1 to 5 should be used for L1 filtering for out-of-sync evaluation. </w:t>
      </w:r>
    </w:p>
    <w:p w:rsidR="00BD4808" w:rsidRDefault="00BD4808" w:rsidP="00BD4808"/>
    <w:p w:rsidR="00F20917" w:rsidRPr="00EC3126" w:rsidRDefault="00BD4808" w:rsidP="00F20917">
      <w:pPr>
        <w:pStyle w:val="Heading2"/>
      </w:pPr>
      <w:r>
        <w:t>RRM measurements</w:t>
      </w:r>
    </w:p>
    <w:tbl>
      <w:tblPr>
        <w:tblStyle w:val="TableGrid"/>
        <w:tblW w:w="0" w:type="auto"/>
        <w:tblLook w:val="04A0" w:firstRow="1" w:lastRow="0" w:firstColumn="1" w:lastColumn="0" w:noHBand="0" w:noVBand="1"/>
      </w:tblPr>
      <w:tblGrid>
        <w:gridCol w:w="9631"/>
      </w:tblGrid>
      <w:tr w:rsidR="00F77FBC" w:rsidRPr="00752254" w:rsidTr="00F77FBC">
        <w:tc>
          <w:tcPr>
            <w:tcW w:w="9631" w:type="dxa"/>
          </w:tcPr>
          <w:p w:rsidR="00F77FBC" w:rsidRPr="00752254" w:rsidRDefault="00F77FBC" w:rsidP="00F77FBC">
            <w:pPr>
              <w:rPr>
                <w:rFonts w:ascii="Times New Roman" w:hAnsi="Times New Roman"/>
                <w:lang w:eastAsia="x-none"/>
              </w:rPr>
            </w:pPr>
            <w:r w:rsidRPr="00752254">
              <w:rPr>
                <w:rFonts w:ascii="Times New Roman" w:hAnsi="Times New Roman"/>
                <w:highlight w:val="green"/>
                <w:lang w:eastAsia="x-none"/>
              </w:rPr>
              <w:t>Agreement:</w:t>
            </w:r>
            <w:r w:rsidRPr="00752254">
              <w:rPr>
                <w:rFonts w:ascii="Times New Roman" w:hAnsi="Times New Roman"/>
                <w:lang w:eastAsia="x-none"/>
              </w:rPr>
              <w:t xml:space="preserve"> (RAN1 #96)</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At least the functionalities of Rel-13 LTE-LAA RSSI and channel occupancy reporting as a baseline should be supported</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 xml:space="preserve">FFS: </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Enhanced RSSI metrics, for e.g., sub-band-level interference measurements in a wideband operation scenario</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Reporting of a new medium contention/load metric other than channel occupancy</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Any modification of the parameters of the Rel-15 SMTC for operation in unlicensed spectrum</w:t>
            </w:r>
          </w:p>
        </w:tc>
      </w:tr>
    </w:tbl>
    <w:p w:rsidR="00BD4808" w:rsidRDefault="00BD4808" w:rsidP="00BD4808">
      <w:pPr>
        <w:rPr>
          <w:lang w:val="en-GB"/>
        </w:rPr>
      </w:pPr>
    </w:p>
    <w:p w:rsidR="006D6149" w:rsidRPr="00122765" w:rsidRDefault="00AB0334" w:rsidP="00BD4808">
      <w:r>
        <w:t xml:space="preserve">In last RAN4 meeting, the issue of RSSI definition was discussed in </w:t>
      </w:r>
      <w:r>
        <w:fldChar w:fldCharType="begin"/>
      </w:r>
      <w:r>
        <w:instrText xml:space="preserve"> REF _Ref16916357 \w \h </w:instrText>
      </w:r>
      <w:r>
        <w:fldChar w:fldCharType="separate"/>
      </w:r>
      <w:r w:rsidR="00D1449B">
        <w:t>[2]</w:t>
      </w:r>
      <w:r>
        <w:fldChar w:fldCharType="end"/>
      </w:r>
      <w:r>
        <w:t xml:space="preserve"> and related CR for LAA test cases was agreed in </w:t>
      </w:r>
      <w:r>
        <w:fldChar w:fldCharType="begin"/>
      </w:r>
      <w:r>
        <w:instrText xml:space="preserve"> REF _Ref16916373 \w \h </w:instrText>
      </w:r>
      <w:r>
        <w:fldChar w:fldCharType="separate"/>
      </w:r>
      <w:r w:rsidR="00D1449B">
        <w:t>[3]</w:t>
      </w:r>
      <w:r>
        <w:fldChar w:fldCharType="end"/>
      </w:r>
      <w:r>
        <w:t xml:space="preserve">. </w:t>
      </w:r>
      <w:r w:rsidR="006D6149">
        <w:t xml:space="preserve">The issue discussed by is that according to the definition of RSSI in LTE, the reported RSSI is not normalized by the measurement bandwidth where the measurement bandwidth is decided by UE as long as UE can meet RAN4’s requirements. This may lead to different reported measurements even when two UEs are measuring the same carrier if their measurement bandwidths are different. Without the knowledge of UE’s measurement bandwidth, it is difficult for the network to utilize the measurement results reported by different UEs. To avoid encountering the same issue we have in LTE, we hence propose RSSI in NR-U should be normalized by N which is the number of PRBs used by UE for measurement. Having the definition of RSSI changed, the threshold configured for channel occupancy reporting should be changed accordingly.  </w:t>
      </w:r>
    </w:p>
    <w:p w:rsidR="00172067" w:rsidRDefault="00172067" w:rsidP="006D6149">
      <w:pPr>
        <w:pStyle w:val="Caption"/>
      </w:pPr>
      <w:bookmarkStart w:id="42" w:name="_Ref16919179"/>
      <w:r>
        <w:t xml:space="preserve">Observation </w:t>
      </w:r>
      <w:fldSimple w:instr=" SEQ Observation \* ARABIC ">
        <w:r w:rsidR="00D1449B">
          <w:rPr>
            <w:noProof/>
          </w:rPr>
          <w:t>11</w:t>
        </w:r>
      </w:fldSimple>
      <w:r>
        <w:t>:</w:t>
      </w:r>
      <w:r w:rsidRPr="00216035">
        <w:t xml:space="preserve"> According to the current definition of RSSI in LTE, the reported RSSI value scales with the number or PRBs which is completely up to UE implementation.</w:t>
      </w:r>
      <w:bookmarkEnd w:id="42"/>
      <w:r w:rsidRPr="00216035">
        <w:t xml:space="preserve">  </w:t>
      </w:r>
    </w:p>
    <w:p w:rsidR="00172067" w:rsidRPr="00472F08" w:rsidRDefault="00172067" w:rsidP="006D6149">
      <w:pPr>
        <w:pStyle w:val="Caption"/>
      </w:pPr>
      <w:bookmarkStart w:id="43" w:name="_Ref16919185"/>
      <w:r>
        <w:t xml:space="preserve">Observation </w:t>
      </w:r>
      <w:fldSimple w:instr=" SEQ Observation \* ARABIC ">
        <w:r w:rsidR="00D1449B">
          <w:rPr>
            <w:noProof/>
          </w:rPr>
          <w:t>12</w:t>
        </w:r>
      </w:fldSimple>
      <w:r>
        <w:t xml:space="preserve">: </w:t>
      </w:r>
      <w:r w:rsidRPr="00472F08">
        <w:t xml:space="preserve">The uncertainty in number of PRBs used for RSSI measurement makes the reported RSSI, </w:t>
      </w:r>
      <w:proofErr w:type="spellStart"/>
      <w:r w:rsidRPr="00472F08">
        <w:t>channelOccupancy</w:t>
      </w:r>
      <w:proofErr w:type="spellEnd"/>
      <w:r w:rsidRPr="00472F08">
        <w:t xml:space="preserve"> and </w:t>
      </w:r>
      <w:proofErr w:type="spellStart"/>
      <w:r w:rsidRPr="00472F08">
        <w:t>threshS</w:t>
      </w:r>
      <w:proofErr w:type="spellEnd"/>
      <w:r w:rsidRPr="00472F08">
        <w:t>-RSSI-CBR difficult to be used by network.</w:t>
      </w:r>
      <w:bookmarkEnd w:id="43"/>
    </w:p>
    <w:p w:rsidR="00172067" w:rsidRDefault="00172067" w:rsidP="006D6149">
      <w:pPr>
        <w:pStyle w:val="Caption"/>
      </w:pPr>
      <w:bookmarkStart w:id="44" w:name="_Ref16919422"/>
      <w:r>
        <w:t xml:space="preserve">Proposal </w:t>
      </w:r>
      <w:fldSimple w:instr=" SEQ Proposal \* ARABIC ">
        <w:r w:rsidR="00D1449B">
          <w:rPr>
            <w:noProof/>
          </w:rPr>
          <w:t>25</w:t>
        </w:r>
      </w:fldSimple>
      <w:r>
        <w:t>: T</w:t>
      </w:r>
      <w:r w:rsidRPr="0051620C">
        <w:t>he reported RSSI value is normalized by N, which is the number PRBs used by UE for measurement. The exact value of N should be up to UE’s implementation, as long as UE can fulfill RAN4’s requirement.</w:t>
      </w:r>
      <w:bookmarkEnd w:id="44"/>
    </w:p>
    <w:p w:rsidR="00122765" w:rsidRDefault="00172067" w:rsidP="009B0107">
      <w:pPr>
        <w:pStyle w:val="Caption"/>
      </w:pPr>
      <w:r>
        <w:t xml:space="preserve">Proposal </w:t>
      </w:r>
      <w:fldSimple w:instr=" SEQ Proposal \* ARABIC ">
        <w:r w:rsidR="00D1449B">
          <w:rPr>
            <w:noProof/>
          </w:rPr>
          <w:t>26</w:t>
        </w:r>
      </w:fldSimple>
      <w:r>
        <w:t xml:space="preserve">: </w:t>
      </w:r>
      <w:r w:rsidRPr="00F74F5D">
        <w:t>The corresponding thresholds used in channel Occupancy measurement should be changed correspondingly.</w:t>
      </w:r>
    </w:p>
    <w:p w:rsidR="00122765" w:rsidRPr="00122765" w:rsidRDefault="00122765" w:rsidP="00122765">
      <w:r>
        <w:t xml:space="preserve">Finally, since wide-band operation has been agreed for NR-U, we think the RSSI and channel occupancy measurements should be enhanced to support sub-band-level </w:t>
      </w:r>
      <w:r w:rsidR="001223D2">
        <w:t xml:space="preserve">measurements and reporting. </w:t>
      </w:r>
    </w:p>
    <w:p w:rsidR="00172067" w:rsidRDefault="00172067" w:rsidP="00172067">
      <w:pPr>
        <w:pStyle w:val="Caption"/>
      </w:pPr>
      <w:bookmarkStart w:id="45" w:name="_Ref16919435"/>
      <w:r>
        <w:t xml:space="preserve">Proposal </w:t>
      </w:r>
      <w:fldSimple w:instr=" SEQ Proposal \* ARABIC ">
        <w:r w:rsidR="00D1449B">
          <w:rPr>
            <w:noProof/>
          </w:rPr>
          <w:t>27</w:t>
        </w:r>
      </w:fldSimple>
      <w:r>
        <w:t xml:space="preserve">: Sub-band-level RSSI </w:t>
      </w:r>
      <w:r w:rsidR="00873253">
        <w:t xml:space="preserve">and channel occupancy </w:t>
      </w:r>
      <w:r>
        <w:t>measurements should be supported.</w:t>
      </w:r>
      <w:bookmarkEnd w:id="45"/>
      <w:r>
        <w:t xml:space="preserve"> </w:t>
      </w:r>
    </w:p>
    <w:p w:rsidR="003F3EBF" w:rsidRDefault="003F3EBF" w:rsidP="003F3EBF"/>
    <w:p w:rsidR="003F3EBF" w:rsidRPr="009C1480" w:rsidRDefault="003F3EBF" w:rsidP="003F3EBF">
      <w:pPr>
        <w:pStyle w:val="Heading1"/>
        <w:jc w:val="both"/>
        <w:rPr>
          <w:lang w:eastAsia="zh-CN"/>
        </w:rPr>
      </w:pPr>
      <w:r>
        <w:rPr>
          <w:lang w:eastAsia="zh-CN"/>
        </w:rPr>
        <w:t>Conclusions</w:t>
      </w:r>
    </w:p>
    <w:p w:rsidR="00655C96" w:rsidRDefault="00A52897" w:rsidP="00BD4808">
      <w:r>
        <w:fldChar w:fldCharType="begin"/>
      </w:r>
      <w:r>
        <w:instrText xml:space="preserve"> REF _Ref16919082 \h </w:instrText>
      </w:r>
      <w:r>
        <w:fldChar w:fldCharType="separate"/>
      </w:r>
      <w:r w:rsidR="00D1449B">
        <w:t xml:space="preserve">Observation </w:t>
      </w:r>
      <w:r w:rsidR="00D1449B">
        <w:rPr>
          <w:noProof/>
        </w:rPr>
        <w:t>1</w:t>
      </w:r>
      <w:r w:rsidR="00D1449B">
        <w:t>: If the derivation of the beam index relies on the SSB candidate position index, then</w:t>
      </w:r>
      <w:r w:rsidR="00D1449B" w:rsidRPr="00743065">
        <w:t xml:space="preserve"> UE has to read PBCH of neighboring cells when doing RRM measurements for beam-level reporting in asynchronous deployments</w:t>
      </w:r>
      <w:r w:rsidR="00D1449B">
        <w:t>.</w:t>
      </w:r>
      <w:r>
        <w:fldChar w:fldCharType="end"/>
      </w:r>
    </w:p>
    <w:p w:rsidR="00A52897" w:rsidRDefault="00A52897" w:rsidP="00BD4808">
      <w:r>
        <w:fldChar w:fldCharType="begin"/>
      </w:r>
      <w:r>
        <w:instrText xml:space="preserve"> REF _Ref16919089 \h </w:instrText>
      </w:r>
      <w:r>
        <w:fldChar w:fldCharType="separate"/>
      </w:r>
      <w:r w:rsidR="00D1449B">
        <w:t xml:space="preserve">Observation </w:t>
      </w:r>
      <w:r w:rsidR="00D1449B">
        <w:rPr>
          <w:noProof/>
        </w:rPr>
        <w:t>2</w:t>
      </w:r>
      <w:r w:rsidR="00D1449B">
        <w:t>: If the value of Q is one of {1, 2, 4, 8}, then the derivation of the beam index can be simplified by using PBCH DMRS sequence index only.</w:t>
      </w:r>
      <w:r>
        <w:fldChar w:fldCharType="end"/>
      </w:r>
    </w:p>
    <w:p w:rsidR="00A52897" w:rsidRDefault="00A52897" w:rsidP="00BD4808">
      <w:r>
        <w:fldChar w:fldCharType="begin"/>
      </w:r>
      <w:r>
        <w:instrText xml:space="preserve"> REF _Ref534988931 \h </w:instrText>
      </w:r>
      <w:r>
        <w:fldChar w:fldCharType="separate"/>
      </w:r>
      <w:r w:rsidR="00D1449B">
        <w:t xml:space="preserve">Observation </w:t>
      </w:r>
      <w:r w:rsidR="00D1449B">
        <w:rPr>
          <w:noProof/>
        </w:rPr>
        <w:t>3</w:t>
      </w:r>
      <w:r w:rsidR="00D1449B">
        <w:t>: It is not clear how multiple PRACH resources can be allocated across multiple LBT sub-bands/carriers for UEs in initial access or idle mode since it has been agreed initial active DL/UL BWPs are approximately 20MHz.</w:t>
      </w:r>
      <w:r>
        <w:fldChar w:fldCharType="end"/>
      </w:r>
    </w:p>
    <w:p w:rsidR="00A52897" w:rsidRDefault="00A52897" w:rsidP="00BD4808">
      <w:r>
        <w:fldChar w:fldCharType="begin"/>
      </w:r>
      <w:r>
        <w:instrText xml:space="preserve"> REF _Ref16919128 \h </w:instrText>
      </w:r>
      <w:r>
        <w:fldChar w:fldCharType="separate"/>
      </w:r>
      <w:r w:rsidR="00D1449B">
        <w:t xml:space="preserve">Observation </w:t>
      </w:r>
      <w:r w:rsidR="00D1449B">
        <w:rPr>
          <w:noProof/>
        </w:rPr>
        <w:t>4</w:t>
      </w:r>
      <w:r w:rsidR="00D1449B">
        <w:t>: On the other hand, it is beneficial to have PRACH resources over multiple LBT sub-bands/carriers for UE to increase the LBT success rate.</w:t>
      </w:r>
      <w:r>
        <w:fldChar w:fldCharType="end"/>
      </w:r>
    </w:p>
    <w:p w:rsidR="00A52897" w:rsidRDefault="00A52897" w:rsidP="00BD4808">
      <w:r>
        <w:fldChar w:fldCharType="begin"/>
      </w:r>
      <w:r>
        <w:instrText xml:space="preserve"> REF _Ref534988937 \h </w:instrText>
      </w:r>
      <w:r>
        <w:fldChar w:fldCharType="separate"/>
      </w:r>
      <w:r w:rsidR="00D1449B">
        <w:t xml:space="preserve">Observation </w:t>
      </w:r>
      <w:r w:rsidR="00D1449B">
        <w:rPr>
          <w:noProof/>
        </w:rPr>
        <w:t>5</w:t>
      </w:r>
      <w:r w:rsidR="00D1449B">
        <w:t>: Providing multiple Msg1 transmission opportunities is beneficial to mitigate the impact of LBT failures. However, it is not clear why the actual transmission of multiple Msg1s is needed.</w:t>
      </w:r>
      <w:r>
        <w:fldChar w:fldCharType="end"/>
      </w:r>
    </w:p>
    <w:p w:rsidR="00A52897" w:rsidRDefault="00A52897" w:rsidP="00BD4808">
      <w:r>
        <w:lastRenderedPageBreak/>
        <w:fldChar w:fldCharType="begin"/>
      </w:r>
      <w:r>
        <w:instrText xml:space="preserve"> REF _Ref534988943 \h </w:instrText>
      </w:r>
      <w:r>
        <w:fldChar w:fldCharType="separate"/>
      </w:r>
      <w:r w:rsidR="00D1449B">
        <w:t xml:space="preserve">Observation </w:t>
      </w:r>
      <w:r w:rsidR="00D1449B">
        <w:rPr>
          <w:noProof/>
        </w:rPr>
        <w:t>6</w:t>
      </w:r>
      <w:r w:rsidR="00D1449B">
        <w:t xml:space="preserve">: </w:t>
      </w:r>
      <w:r w:rsidR="00D1449B" w:rsidRPr="00EE667D">
        <w:t>Group wise SSB-to-RO mapping by frequency first-time second manner</w:t>
      </w:r>
      <w:r w:rsidR="00D1449B">
        <w:t xml:space="preserve"> seems already supported by NR PRACH configurations.</w:t>
      </w:r>
      <w:r>
        <w:fldChar w:fldCharType="end"/>
      </w:r>
    </w:p>
    <w:p w:rsidR="00A52897" w:rsidRDefault="00A52897" w:rsidP="00BD4808">
      <w:r>
        <w:fldChar w:fldCharType="begin"/>
      </w:r>
      <w:r>
        <w:instrText xml:space="preserve"> REF _Ref534988949 \h </w:instrText>
      </w:r>
      <w:r>
        <w:fldChar w:fldCharType="separate"/>
      </w:r>
      <w:r w:rsidR="00D1449B">
        <w:t xml:space="preserve">Observation </w:t>
      </w:r>
      <w:r w:rsidR="00D1449B">
        <w:rPr>
          <w:noProof/>
        </w:rPr>
        <w:t>7</w:t>
      </w:r>
      <w:r w:rsidR="00D1449B">
        <w:t>: In NR, the positions of SS/PBCH blocks are taken into account for determining the validation of a RACH occasion.</w:t>
      </w:r>
      <w:r>
        <w:fldChar w:fldCharType="end"/>
      </w:r>
    </w:p>
    <w:p w:rsidR="00A52897" w:rsidRDefault="00A52897" w:rsidP="00BD4808">
      <w:r>
        <w:fldChar w:fldCharType="begin"/>
      </w:r>
      <w:r>
        <w:instrText xml:space="preserve"> REF _Ref534988955 \h </w:instrText>
      </w:r>
      <w:r>
        <w:fldChar w:fldCharType="separate"/>
      </w:r>
      <w:r w:rsidR="00D1449B">
        <w:t xml:space="preserve">Observation </w:t>
      </w:r>
      <w:r w:rsidR="00D1449B">
        <w:rPr>
          <w:noProof/>
        </w:rPr>
        <w:t>8</w:t>
      </w:r>
      <w:r w:rsidR="00D1449B">
        <w:t>: In NR-U, there are more than one possible position for a SS/PBCH block within a DMTC window.</w:t>
      </w:r>
      <w:r>
        <w:fldChar w:fldCharType="end"/>
      </w:r>
    </w:p>
    <w:p w:rsidR="00A52897" w:rsidRDefault="00A52897" w:rsidP="00BD4808">
      <w:r>
        <w:fldChar w:fldCharType="begin"/>
      </w:r>
      <w:r>
        <w:instrText xml:space="preserve"> REF _Ref16919167 \h </w:instrText>
      </w:r>
      <w:r>
        <w:fldChar w:fldCharType="separate"/>
      </w:r>
      <w:r w:rsidR="00D1449B">
        <w:t xml:space="preserve">Observation </w:t>
      </w:r>
      <w:r w:rsidR="00D1449B">
        <w:rPr>
          <w:noProof/>
        </w:rPr>
        <w:t>9</w:t>
      </w:r>
      <w:r w:rsidR="00D1449B">
        <w:t>: It is more likely for UE to determine whether SSBs are successfully transmitted during one DRS transmission window in a high SINR condition than in a low SINR condition.</w:t>
      </w:r>
      <w:r>
        <w:fldChar w:fldCharType="end"/>
      </w:r>
    </w:p>
    <w:p w:rsidR="00A52897" w:rsidRDefault="00A52897" w:rsidP="00BD4808">
      <w:r>
        <w:fldChar w:fldCharType="begin"/>
      </w:r>
      <w:r>
        <w:instrText xml:space="preserve"> REF _Ref16919173 \h </w:instrText>
      </w:r>
      <w:r>
        <w:fldChar w:fldCharType="separate"/>
      </w:r>
      <w:r w:rsidR="00D1449B">
        <w:t xml:space="preserve">Observation </w:t>
      </w:r>
      <w:r w:rsidR="00D1449B">
        <w:rPr>
          <w:noProof/>
        </w:rPr>
        <w:t>10</w:t>
      </w:r>
      <w:r w:rsidR="00D1449B">
        <w:t>: In high SINR, UE may be able to rule out missing measurements due to LBT failure.</w:t>
      </w:r>
      <w:r>
        <w:fldChar w:fldCharType="end"/>
      </w:r>
    </w:p>
    <w:p w:rsidR="00A52897" w:rsidRDefault="00A52897" w:rsidP="00BD4808">
      <w:r>
        <w:fldChar w:fldCharType="begin"/>
      </w:r>
      <w:r>
        <w:instrText xml:space="preserve"> REF _Ref16919179 \h </w:instrText>
      </w:r>
      <w:r>
        <w:fldChar w:fldCharType="separate"/>
      </w:r>
      <w:r w:rsidR="00D1449B">
        <w:t xml:space="preserve">Observation </w:t>
      </w:r>
      <w:r w:rsidR="00D1449B">
        <w:rPr>
          <w:noProof/>
        </w:rPr>
        <w:t>11</w:t>
      </w:r>
      <w:r w:rsidR="00D1449B">
        <w:t>:</w:t>
      </w:r>
      <w:r w:rsidR="00D1449B" w:rsidRPr="00216035">
        <w:t xml:space="preserve"> According to the current definition of RSSI in LTE, the reported RSSI value scales with the number or PRBs which is completely up to UE implementation.</w:t>
      </w:r>
      <w:r>
        <w:fldChar w:fldCharType="end"/>
      </w:r>
    </w:p>
    <w:p w:rsidR="00A52897" w:rsidRDefault="00A52897" w:rsidP="00BD4808">
      <w:r>
        <w:fldChar w:fldCharType="begin"/>
      </w:r>
      <w:r>
        <w:instrText xml:space="preserve"> REF _Ref16919185 \h </w:instrText>
      </w:r>
      <w:r>
        <w:fldChar w:fldCharType="separate"/>
      </w:r>
      <w:r w:rsidR="00D1449B">
        <w:t xml:space="preserve">Observation </w:t>
      </w:r>
      <w:r w:rsidR="00D1449B">
        <w:rPr>
          <w:noProof/>
        </w:rPr>
        <w:t>12</w:t>
      </w:r>
      <w:r w:rsidR="00D1449B">
        <w:t xml:space="preserve">: </w:t>
      </w:r>
      <w:r w:rsidR="00D1449B" w:rsidRPr="00472F08">
        <w:t xml:space="preserve">The uncertainty in number of PRBs used for RSSI measurement makes the reported RSSI, </w:t>
      </w:r>
      <w:proofErr w:type="spellStart"/>
      <w:r w:rsidR="00D1449B" w:rsidRPr="00472F08">
        <w:t>channelOccupancy</w:t>
      </w:r>
      <w:proofErr w:type="spellEnd"/>
      <w:r w:rsidR="00D1449B" w:rsidRPr="00472F08">
        <w:t xml:space="preserve"> and </w:t>
      </w:r>
      <w:proofErr w:type="spellStart"/>
      <w:r w:rsidR="00D1449B" w:rsidRPr="00472F08">
        <w:t>threshS</w:t>
      </w:r>
      <w:proofErr w:type="spellEnd"/>
      <w:r w:rsidR="00D1449B" w:rsidRPr="00472F08">
        <w:t>-RSSI-CBR difficult to be used by network.</w:t>
      </w:r>
      <w:r>
        <w:fldChar w:fldCharType="end"/>
      </w:r>
    </w:p>
    <w:p w:rsidR="00A52897" w:rsidRDefault="00A52897" w:rsidP="00BD4808"/>
    <w:p w:rsidR="00A52897" w:rsidRDefault="00A52897" w:rsidP="00BD4808">
      <w:r>
        <w:fldChar w:fldCharType="begin"/>
      </w:r>
      <w:r>
        <w:instrText xml:space="preserve"> REF _Ref16919200 \h </w:instrText>
      </w:r>
      <w:r>
        <w:fldChar w:fldCharType="separate"/>
      </w:r>
      <w:r w:rsidR="00D1449B">
        <w:t xml:space="preserve">Proposal </w:t>
      </w:r>
      <w:r w:rsidR="00D1449B">
        <w:rPr>
          <w:noProof/>
        </w:rPr>
        <w:t>1</w:t>
      </w:r>
      <w:r w:rsidR="00D1449B">
        <w:t>: There are always two SSB candidate positions within a slot regardless of the number of actually transmitted SSBs within a slot.</w:t>
      </w:r>
      <w:r>
        <w:fldChar w:fldCharType="end"/>
      </w:r>
    </w:p>
    <w:p w:rsidR="00BA38F9" w:rsidRDefault="00BA38F9" w:rsidP="00BA38F9">
      <w:pPr>
        <w:pStyle w:val="ListParagraph"/>
        <w:numPr>
          <w:ilvl w:val="0"/>
          <w:numId w:val="40"/>
        </w:numPr>
        <w:ind w:firstLineChars="0"/>
        <w:rPr>
          <w:sz w:val="20"/>
        </w:rPr>
      </w:pPr>
      <w:r w:rsidRPr="00BA38F9">
        <w:rPr>
          <w:sz w:val="20"/>
        </w:rPr>
        <w:t>Note: The SSB candidate position index within a DRS transmission window is defined accordingly from 0 to y-1 where y is determined by SCS and the DRS transmission window duration.</w:t>
      </w:r>
    </w:p>
    <w:p w:rsidR="00BA38F9" w:rsidRPr="00BA38F9" w:rsidRDefault="00BA38F9" w:rsidP="00BA38F9">
      <w:pPr>
        <w:pStyle w:val="ListParagraph"/>
        <w:ind w:left="720" w:firstLineChars="0" w:firstLine="0"/>
        <w:rPr>
          <w:sz w:val="20"/>
        </w:rPr>
      </w:pPr>
    </w:p>
    <w:p w:rsidR="00A52897" w:rsidRDefault="00A52897" w:rsidP="00BD4808">
      <w:r>
        <w:fldChar w:fldCharType="begin"/>
      </w:r>
      <w:r>
        <w:instrText xml:space="preserve"> REF _Ref16919209 \h </w:instrText>
      </w:r>
      <w:r>
        <w:fldChar w:fldCharType="separate"/>
      </w:r>
      <w:r w:rsidR="00D1449B">
        <w:t xml:space="preserve">Proposal </w:t>
      </w:r>
      <w:r w:rsidR="00D1449B">
        <w:rPr>
          <w:noProof/>
        </w:rPr>
        <w:t>2</w:t>
      </w:r>
      <w:r w:rsidR="00D1449B">
        <w:t xml:space="preserve">: The DRS transmission window duration can be {1, 2, 3, 4, 5} </w:t>
      </w:r>
      <w:proofErr w:type="spellStart"/>
      <w:r w:rsidR="00D1449B">
        <w:t>msec</w:t>
      </w:r>
      <w:proofErr w:type="spellEnd"/>
      <w:r w:rsidR="00D1449B">
        <w:t>, same as the value range of SMTC duration supported in NR R15.</w:t>
      </w:r>
      <w:r>
        <w:fldChar w:fldCharType="end"/>
      </w:r>
    </w:p>
    <w:p w:rsidR="00A52897" w:rsidRDefault="00A52897" w:rsidP="00BD4808">
      <w:r>
        <w:fldChar w:fldCharType="begin"/>
      </w:r>
      <w:r>
        <w:instrText xml:space="preserve"> REF _Ref16919217 \h </w:instrText>
      </w:r>
      <w:r>
        <w:fldChar w:fldCharType="separate"/>
      </w:r>
      <w:r w:rsidR="00D1449B">
        <w:t xml:space="preserve">Proposal </w:t>
      </w:r>
      <w:r w:rsidR="00D1449B">
        <w:rPr>
          <w:noProof/>
        </w:rPr>
        <w:t>3</w:t>
      </w:r>
      <w:r w:rsidR="00D1449B">
        <w:t>: For both SCS=30kHz and 15kHz, the 3 LSB bits of the SSB candidate position index is represented by the 8 PBCH DMRS sequences defined in NR R15.</w:t>
      </w:r>
      <w:r>
        <w:fldChar w:fldCharType="end"/>
      </w:r>
    </w:p>
    <w:p w:rsidR="00A52897" w:rsidRDefault="00A52897" w:rsidP="00BD4808">
      <w:r>
        <w:fldChar w:fldCharType="begin"/>
      </w:r>
      <w:r>
        <w:instrText xml:space="preserve"> REF _Ref16919222 \h </w:instrText>
      </w:r>
      <w:r>
        <w:fldChar w:fldCharType="separate"/>
      </w:r>
      <w:r w:rsidR="00D1449B">
        <w:t xml:space="preserve">Proposal </w:t>
      </w:r>
      <w:r w:rsidR="00D1449B">
        <w:rPr>
          <w:noProof/>
        </w:rPr>
        <w:t>4</w:t>
      </w:r>
      <w:r w:rsidR="00D1449B">
        <w:t xml:space="preserve">: For SCS=30 kHz, use </w:t>
      </w:r>
      <w:r w:rsidR="00D1449B" w:rsidRPr="002625EB">
        <w:rPr>
          <w:position w:val="-14"/>
        </w:rPr>
        <w:pict>
          <v:shape id="_x0000_i1045" type="#_x0000_t75" style="width:50.75pt;height:19.15pt">
            <v:imagedata r:id="rId11" o:title=""/>
          </v:shape>
        </w:pict>
      </w:r>
      <w:r w:rsidR="00D1449B">
        <w:t>in 7.1.1 of TS38.212 to represent the 5</w:t>
      </w:r>
      <w:r w:rsidR="00D1449B" w:rsidRPr="00CE2804">
        <w:rPr>
          <w:vertAlign w:val="superscript"/>
        </w:rPr>
        <w:t>th</w:t>
      </w:r>
      <w:r w:rsidR="00D1449B">
        <w:t xml:space="preserve"> and 4</w:t>
      </w:r>
      <w:r w:rsidR="00D1449B" w:rsidRPr="00CE2804">
        <w:rPr>
          <w:vertAlign w:val="superscript"/>
        </w:rPr>
        <w:t>th</w:t>
      </w:r>
      <w:r w:rsidR="00D1449B">
        <w:t xml:space="preserve"> bits of the SSB candidate position index, respectively. For SCS=15 kHz, use </w:t>
      </w:r>
      <w:r w:rsidR="00D1449B" w:rsidRPr="002625EB">
        <w:rPr>
          <w:position w:val="-14"/>
        </w:rPr>
        <w:pict>
          <v:shape id="_x0000_i1044" type="#_x0000_t75" style="width:23.3pt;height:19.15pt">
            <v:imagedata r:id="rId11" o:title="" cropright="35528f"/>
          </v:shape>
        </w:pict>
      </w:r>
      <w:r w:rsidR="00D1449B">
        <w:t xml:space="preserve"> in 7.1.1 of TS38.212 as the 4</w:t>
      </w:r>
      <w:r w:rsidR="00D1449B" w:rsidRPr="00CE2804">
        <w:rPr>
          <w:vertAlign w:val="superscript"/>
        </w:rPr>
        <w:t>th</w:t>
      </w:r>
      <w:r w:rsidR="00D1449B">
        <w:t xml:space="preserve"> bit of the SSB candidate position index.</w:t>
      </w:r>
      <w:r>
        <w:fldChar w:fldCharType="end"/>
      </w:r>
    </w:p>
    <w:p w:rsidR="00A52897" w:rsidRDefault="00A52897" w:rsidP="00BD4808">
      <w:r>
        <w:fldChar w:fldCharType="begin"/>
      </w:r>
      <w:r>
        <w:instrText xml:space="preserve"> REF _Ref16919228 \h </w:instrText>
      </w:r>
      <w:r>
        <w:fldChar w:fldCharType="separate"/>
      </w:r>
      <w:r w:rsidR="00D1449B">
        <w:t xml:space="preserve">Proposal </w:t>
      </w:r>
      <w:r w:rsidR="00D1449B">
        <w:rPr>
          <w:noProof/>
        </w:rPr>
        <w:t>5</w:t>
      </w:r>
      <w:r w:rsidR="00D1449B">
        <w:t>: UE determines serving cell timing based on the detected SSB candidate position index, the half-frame indicator, and the 10-bit SFN from PBCH. No other bits in PBCH payload are required for timing indication.</w:t>
      </w:r>
      <w:r>
        <w:fldChar w:fldCharType="end"/>
      </w:r>
    </w:p>
    <w:p w:rsidR="00A52897" w:rsidRDefault="00A52897" w:rsidP="00BD4808">
      <w:r>
        <w:fldChar w:fldCharType="begin"/>
      </w:r>
      <w:r>
        <w:instrText xml:space="preserve"> REF _Ref16919228 \h </w:instrText>
      </w:r>
      <w:r>
        <w:fldChar w:fldCharType="separate"/>
      </w:r>
      <w:r w:rsidR="00D1449B">
        <w:t xml:space="preserve">Proposal </w:t>
      </w:r>
      <w:r w:rsidR="00D1449B">
        <w:rPr>
          <w:noProof/>
        </w:rPr>
        <w:t>5</w:t>
      </w:r>
      <w:r w:rsidR="00D1449B">
        <w:t>: UE determines serving cell timing based on the detected SSB candidate position index, the half-frame indicator, and the 10-bit SFN from PBCH. No other bits in PBCH payload are required for timing indication.</w:t>
      </w:r>
      <w:r>
        <w:fldChar w:fldCharType="end"/>
      </w:r>
    </w:p>
    <w:p w:rsidR="00A52897" w:rsidRDefault="00A52897" w:rsidP="00BD4808">
      <w:r>
        <w:fldChar w:fldCharType="begin"/>
      </w:r>
      <w:r>
        <w:instrText xml:space="preserve"> REF _Ref16919241 \h </w:instrText>
      </w:r>
      <w:r>
        <w:fldChar w:fldCharType="separate"/>
      </w:r>
      <w:r w:rsidR="00D1449B">
        <w:t xml:space="preserve">Proposal </w:t>
      </w:r>
      <w:r w:rsidR="00D1449B">
        <w:rPr>
          <w:noProof/>
        </w:rPr>
        <w:t>6</w:t>
      </w:r>
      <w:r w:rsidR="00D1449B">
        <w:t>: Define Q as the number of actually transmitted SSBs and restrict its values to {1, 2, 4, and 8} or a subset of them.</w:t>
      </w:r>
      <w:r>
        <w:fldChar w:fldCharType="end"/>
      </w:r>
    </w:p>
    <w:p w:rsidR="00A52897" w:rsidRDefault="00A52897" w:rsidP="00BD4808">
      <w:r>
        <w:fldChar w:fldCharType="begin"/>
      </w:r>
      <w:r>
        <w:instrText xml:space="preserve"> REF _Ref16919247 \h </w:instrText>
      </w:r>
      <w:r>
        <w:fldChar w:fldCharType="separate"/>
      </w:r>
      <w:r w:rsidR="00D1449B">
        <w:t xml:space="preserve">Proposal </w:t>
      </w:r>
      <w:r w:rsidR="00D1449B">
        <w:rPr>
          <w:noProof/>
        </w:rPr>
        <w:t>7</w:t>
      </w:r>
      <w:r w:rsidR="00D1449B">
        <w:t>: For initial access, Q is carried by PBCH.</w:t>
      </w:r>
      <w:r>
        <w:fldChar w:fldCharType="end"/>
      </w:r>
    </w:p>
    <w:p w:rsidR="00A52897" w:rsidRDefault="00A52897" w:rsidP="00BD4808">
      <w:r>
        <w:fldChar w:fldCharType="begin"/>
      </w:r>
      <w:r>
        <w:instrText xml:space="preserve"> REF _Ref16919257 \h </w:instrText>
      </w:r>
      <w:r>
        <w:fldChar w:fldCharType="separate"/>
      </w:r>
      <w:r w:rsidR="00D1449B">
        <w:t xml:space="preserve">Proposal </w:t>
      </w:r>
      <w:r w:rsidR="00D1449B">
        <w:rPr>
          <w:noProof/>
        </w:rPr>
        <w:t>8</w:t>
      </w:r>
      <w:r w:rsidR="00D1449B">
        <w:t>: For RRM measurements, Q is signaled to UE via higher layers.</w:t>
      </w:r>
      <w:r>
        <w:fldChar w:fldCharType="end"/>
      </w:r>
    </w:p>
    <w:p w:rsidR="00A52897" w:rsidRDefault="00A52897" w:rsidP="00BD4808">
      <w:r>
        <w:fldChar w:fldCharType="begin"/>
      </w:r>
      <w:r>
        <w:instrText xml:space="preserve"> REF _Ref16919263 \h </w:instrText>
      </w:r>
      <w:r>
        <w:fldChar w:fldCharType="separate"/>
      </w:r>
      <w:r w:rsidR="00D1449B" w:rsidRPr="00114D51">
        <w:t xml:space="preserve">Proposal </w:t>
      </w:r>
      <w:r w:rsidR="00D1449B">
        <w:rPr>
          <w:noProof/>
        </w:rPr>
        <w:t>9</w:t>
      </w:r>
      <w:r w:rsidR="00D1449B" w:rsidRPr="00114D51">
        <w:t>: Q is carrier specific, i.e. a same Q value for cells on a same carrier.</w:t>
      </w:r>
      <w:r>
        <w:fldChar w:fldCharType="end"/>
      </w:r>
    </w:p>
    <w:p w:rsidR="00D1449B" w:rsidRDefault="00D1449B" w:rsidP="00BD4808">
      <w:r>
        <w:fldChar w:fldCharType="begin"/>
      </w:r>
      <w:r>
        <w:instrText xml:space="preserve"> REF _Ref7697542 \h </w:instrText>
      </w:r>
      <w:r>
        <w:fldChar w:fldCharType="separate"/>
      </w:r>
      <w:r>
        <w:t xml:space="preserve">Proposal </w:t>
      </w:r>
      <w:r>
        <w:rPr>
          <w:noProof/>
        </w:rPr>
        <w:t>10</w:t>
      </w:r>
      <w:r>
        <w:t>: Similar to NR, NR-U supports that both CORESET and search space configurations for Type-0 PDCCH to be carried by PBCH.</w:t>
      </w:r>
      <w:r>
        <w:fldChar w:fldCharType="end"/>
      </w:r>
      <w:bookmarkStart w:id="46" w:name="_GoBack"/>
      <w:bookmarkEnd w:id="46"/>
    </w:p>
    <w:p w:rsidR="00A52897" w:rsidRDefault="00A52897" w:rsidP="00BD4808">
      <w:r>
        <w:fldChar w:fldCharType="begin"/>
      </w:r>
      <w:r>
        <w:instrText xml:space="preserve"> REF _Ref16919274 \h </w:instrText>
      </w:r>
      <w:r>
        <w:fldChar w:fldCharType="separate"/>
      </w:r>
      <w:r w:rsidR="00D1449B">
        <w:t xml:space="preserve">Proposal </w:t>
      </w:r>
      <w:r w:rsidR="00D1449B">
        <w:rPr>
          <w:noProof/>
        </w:rPr>
        <w:t>11</w:t>
      </w:r>
      <w:r w:rsidR="00D1449B">
        <w:t xml:space="preserve">: </w:t>
      </w:r>
      <w:r w:rsidR="00D1449B" w:rsidRPr="0018214F">
        <w:rPr>
          <w:color w:val="000000" w:themeColor="text1"/>
        </w:rPr>
        <w:t>For Type0-PDCCH CORESET configuration, down-select one of the following values for the offset between CORESET#0 and SSB by considering RAN4’s decision on sync raster.</w:t>
      </w:r>
      <w:r>
        <w:fldChar w:fldCharType="end"/>
      </w:r>
    </w:p>
    <w:p w:rsidR="00CD6AAD" w:rsidRPr="002E21A3" w:rsidRDefault="00CD6AAD" w:rsidP="00CD6AAD">
      <w:pPr>
        <w:pStyle w:val="ListParagraph"/>
        <w:numPr>
          <w:ilvl w:val="0"/>
          <w:numId w:val="33"/>
        </w:numPr>
        <w:ind w:firstLineChars="0"/>
        <w:rPr>
          <w:sz w:val="20"/>
          <w:szCs w:val="20"/>
        </w:rPr>
      </w:pPr>
      <w:r w:rsidRPr="002E21A3">
        <w:rPr>
          <w:sz w:val="20"/>
          <w:szCs w:val="20"/>
        </w:rPr>
        <w:t>For SCS=15kHz, {38, 0, 76} PRBs</w:t>
      </w:r>
    </w:p>
    <w:p w:rsidR="00CD6AAD" w:rsidRPr="002E21A3" w:rsidRDefault="00CD6AAD" w:rsidP="00CD6AAD">
      <w:pPr>
        <w:pStyle w:val="ListParagraph"/>
        <w:numPr>
          <w:ilvl w:val="0"/>
          <w:numId w:val="33"/>
        </w:numPr>
        <w:ind w:firstLineChars="0"/>
        <w:rPr>
          <w:sz w:val="20"/>
          <w:szCs w:val="20"/>
        </w:rPr>
      </w:pPr>
      <w:r w:rsidRPr="002E21A3">
        <w:rPr>
          <w:sz w:val="20"/>
          <w:szCs w:val="20"/>
        </w:rPr>
        <w:t>For SCS=30kHz, {14, 0, 28} PRBs</w:t>
      </w:r>
    </w:p>
    <w:p w:rsidR="00CD6AAD" w:rsidRDefault="00CD6AAD" w:rsidP="00BD4808"/>
    <w:p w:rsidR="00A52897" w:rsidRDefault="00A52897" w:rsidP="00BD4808">
      <w:r>
        <w:fldChar w:fldCharType="begin"/>
      </w:r>
      <w:r>
        <w:instrText xml:space="preserve"> REF _Ref16919280 \h </w:instrText>
      </w:r>
      <w:r>
        <w:fldChar w:fldCharType="separate"/>
      </w:r>
      <w:r w:rsidR="00D1449B">
        <w:t xml:space="preserve">Proposal </w:t>
      </w:r>
      <w:r w:rsidR="00D1449B">
        <w:rPr>
          <w:noProof/>
        </w:rPr>
        <w:t>12</w:t>
      </w:r>
      <w:r w:rsidR="00D1449B">
        <w:t xml:space="preserve">: Support Table </w:t>
      </w:r>
      <w:r w:rsidR="00D1449B">
        <w:rPr>
          <w:noProof/>
        </w:rPr>
        <w:t>1</w:t>
      </w:r>
      <w:r w:rsidR="00D1449B">
        <w:t xml:space="preserve"> for search configuration for NR-U in FR1.</w:t>
      </w:r>
      <w:r>
        <w:fldChar w:fldCharType="end"/>
      </w:r>
    </w:p>
    <w:p w:rsidR="00A52897" w:rsidRDefault="00A52897" w:rsidP="00BD4808">
      <w:r>
        <w:lastRenderedPageBreak/>
        <w:fldChar w:fldCharType="begin"/>
      </w:r>
      <w:r>
        <w:instrText xml:space="preserve"> REF _Ref16919286 \h </w:instrText>
      </w:r>
      <w:r>
        <w:fldChar w:fldCharType="separate"/>
      </w:r>
      <w:r w:rsidR="00D1449B">
        <w:t xml:space="preserve">Proposal </w:t>
      </w:r>
      <w:r w:rsidR="00D1449B">
        <w:rPr>
          <w:noProof/>
        </w:rPr>
        <w:t>13</w:t>
      </w:r>
      <w:r w:rsidR="00D1449B">
        <w:t>: RACH resource enhancement in frequency domain can be considered so that multiple RACH resources can be allocated across multiple LBT sub-bands/carriers.</w:t>
      </w:r>
      <w:r>
        <w:fldChar w:fldCharType="end"/>
      </w:r>
    </w:p>
    <w:p w:rsidR="00A52897" w:rsidRDefault="00A52897" w:rsidP="00BD4808">
      <w:r>
        <w:fldChar w:fldCharType="begin"/>
      </w:r>
      <w:r>
        <w:instrText xml:space="preserve"> REF _Ref534989008 \h </w:instrText>
      </w:r>
      <w:r>
        <w:fldChar w:fldCharType="separate"/>
      </w:r>
      <w:r w:rsidR="00D1449B">
        <w:t xml:space="preserve">Proposal </w:t>
      </w:r>
      <w:r w:rsidR="00D1449B">
        <w:rPr>
          <w:noProof/>
        </w:rPr>
        <w:t>14</w:t>
      </w:r>
      <w:r w:rsidR="00D1449B">
        <w:t>: S</w:t>
      </w:r>
      <w:r w:rsidR="00D1449B" w:rsidRPr="00DA2B76">
        <w:t>cheduling of PRACH resources via DCI</w:t>
      </w:r>
      <w:r w:rsidR="00D1449B">
        <w:t xml:space="preserve"> can be considered for NR-U.</w:t>
      </w:r>
      <w:r>
        <w:fldChar w:fldCharType="end"/>
      </w:r>
    </w:p>
    <w:p w:rsidR="00A52897" w:rsidRDefault="00A52897" w:rsidP="00BD4808">
      <w:r>
        <w:fldChar w:fldCharType="begin"/>
      </w:r>
      <w:r>
        <w:instrText xml:space="preserve"> REF _Ref534989014 \h </w:instrText>
      </w:r>
      <w:r>
        <w:fldChar w:fldCharType="separate"/>
      </w:r>
      <w:r w:rsidR="00D1449B">
        <w:t xml:space="preserve">Proposal </w:t>
      </w:r>
      <w:r w:rsidR="00D1449B">
        <w:rPr>
          <w:noProof/>
        </w:rPr>
        <w:t>15</w:t>
      </w:r>
      <w:r w:rsidR="00D1449B">
        <w:t xml:space="preserve">: </w:t>
      </w:r>
      <w:r w:rsidR="00D1449B" w:rsidRPr="00E83D2A">
        <w:t>Scheduling of PRACH resources via paging for idle mode UEs shall not be supported in NR-U.</w:t>
      </w:r>
      <w:r>
        <w:fldChar w:fldCharType="end"/>
      </w:r>
    </w:p>
    <w:p w:rsidR="00A52897" w:rsidRDefault="00A52897" w:rsidP="00BD4808">
      <w:r>
        <w:fldChar w:fldCharType="begin"/>
      </w:r>
      <w:r>
        <w:instrText xml:space="preserve"> REF _Ref534989020 \h </w:instrText>
      </w:r>
      <w:r>
        <w:fldChar w:fldCharType="separate"/>
      </w:r>
      <w:r w:rsidR="00D1449B">
        <w:t xml:space="preserve">Proposal </w:t>
      </w:r>
      <w:r w:rsidR="00D1449B">
        <w:rPr>
          <w:noProof/>
        </w:rPr>
        <w:t>16</w:t>
      </w:r>
      <w:r w:rsidR="00D1449B">
        <w:t>: Allocating</w:t>
      </w:r>
      <w:r w:rsidR="00D1449B" w:rsidRPr="004B689C">
        <w:t xml:space="preserve"> additional RACH resources immediately followin</w:t>
      </w:r>
      <w:r w:rsidR="00D1449B">
        <w:t>g DRS transmission can be considered in NR-U.</w:t>
      </w:r>
      <w:r>
        <w:fldChar w:fldCharType="end"/>
      </w:r>
    </w:p>
    <w:p w:rsidR="00A52897" w:rsidRDefault="00A52897" w:rsidP="00BD4808">
      <w:r>
        <w:fldChar w:fldCharType="begin"/>
      </w:r>
      <w:r>
        <w:instrText xml:space="preserve"> REF _Ref534989025 \h </w:instrText>
      </w:r>
      <w:r>
        <w:fldChar w:fldCharType="separate"/>
      </w:r>
      <w:r w:rsidR="00D1449B">
        <w:t xml:space="preserve">Proposal </w:t>
      </w:r>
      <w:r w:rsidR="00D1449B">
        <w:rPr>
          <w:noProof/>
        </w:rPr>
        <w:t>17</w:t>
      </w:r>
      <w:r w:rsidR="00D1449B">
        <w:t xml:space="preserve">:  </w:t>
      </w:r>
      <w:r w:rsidR="00D1449B" w:rsidRPr="00E36230">
        <w:t>Multiple PRACH transmissions before Msg2 reception in RAR window</w:t>
      </w:r>
      <w:r w:rsidR="00D1449B">
        <w:t xml:space="preserve"> shall not be supported in NR-U.</w:t>
      </w:r>
      <w:r>
        <w:fldChar w:fldCharType="end"/>
      </w:r>
    </w:p>
    <w:p w:rsidR="00A52897" w:rsidRDefault="00A52897" w:rsidP="00BD4808">
      <w:r>
        <w:fldChar w:fldCharType="begin"/>
      </w:r>
      <w:r>
        <w:instrText xml:space="preserve"> REF _Ref534989056 \h </w:instrText>
      </w:r>
      <w:r>
        <w:fldChar w:fldCharType="separate"/>
      </w:r>
      <w:r w:rsidR="00D1449B">
        <w:t xml:space="preserve">Proposal </w:t>
      </w:r>
      <w:r w:rsidR="00D1449B">
        <w:rPr>
          <w:noProof/>
        </w:rPr>
        <w:t>18</w:t>
      </w:r>
      <w:r w:rsidR="00D1449B">
        <w:t>: In NR-U, the validation of a RACH occasion should depend on the positions of the configured DMTC window.</w:t>
      </w:r>
      <w:r>
        <w:fldChar w:fldCharType="end"/>
      </w:r>
    </w:p>
    <w:p w:rsidR="00A52897" w:rsidRDefault="00A52897" w:rsidP="00BD4808">
      <w:r>
        <w:fldChar w:fldCharType="begin"/>
      </w:r>
      <w:r>
        <w:instrText xml:space="preserve"> REF _Ref534989062 \h </w:instrText>
      </w:r>
      <w:r>
        <w:fldChar w:fldCharType="separate"/>
      </w:r>
      <w:r w:rsidR="00D1449B">
        <w:t xml:space="preserve">Proposal </w:t>
      </w:r>
      <w:r w:rsidR="00D1449B">
        <w:rPr>
          <w:noProof/>
        </w:rPr>
        <w:t>19</w:t>
      </w:r>
      <w:r w:rsidR="00D1449B" w:rsidRPr="00120DD7">
        <w:t xml:space="preserve">: The UE detects excessive LBT failures for RA preamble transmissions by using a timer or a counter mechanism. Upon detection, the UE takes </w:t>
      </w:r>
      <w:r w:rsidR="00D1449B">
        <w:t xml:space="preserve">the same actions as when the </w:t>
      </w:r>
      <w:r w:rsidR="00D1449B" w:rsidRPr="00120DD7">
        <w:t>PREAMBLE_TRANSMISSION_COUNTER exceeds its maximum value.</w:t>
      </w:r>
      <w:r>
        <w:fldChar w:fldCharType="end"/>
      </w:r>
    </w:p>
    <w:p w:rsidR="00A52897" w:rsidRDefault="00A52897" w:rsidP="00BD4808">
      <w:r>
        <w:fldChar w:fldCharType="begin"/>
      </w:r>
      <w:r>
        <w:instrText xml:space="preserve"> REF _Ref534989067 \h </w:instrText>
      </w:r>
      <w:r>
        <w:fldChar w:fldCharType="separate"/>
      </w:r>
      <w:r w:rsidR="00D1449B">
        <w:t xml:space="preserve">Proposal </w:t>
      </w:r>
      <w:r w:rsidR="00D1449B">
        <w:rPr>
          <w:noProof/>
        </w:rPr>
        <w:t>20</w:t>
      </w:r>
      <w:r w:rsidR="00D1449B">
        <w:t>: The UE detects excessive LBT failures for msg3 transmissions by using a timer or a counter mechanism. If LBT fails for m</w:t>
      </w:r>
      <w:r w:rsidR="00D1449B" w:rsidRPr="004841FD">
        <w:t xml:space="preserve">sg3, the </w:t>
      </w:r>
      <w:r w:rsidR="00D1449B">
        <w:t xml:space="preserve">UE takes the </w:t>
      </w:r>
      <w:r w:rsidR="00D1449B" w:rsidRPr="004841FD">
        <w:t xml:space="preserve">same actions as the </w:t>
      </w:r>
      <w:proofErr w:type="spellStart"/>
      <w:r w:rsidR="00D1449B" w:rsidRPr="004841FD">
        <w:t>ra-ContentionResolutionTimer</w:t>
      </w:r>
      <w:proofErr w:type="spellEnd"/>
      <w:r w:rsidR="00D1449B" w:rsidRPr="004841FD">
        <w:t xml:space="preserve"> expiry</w:t>
      </w:r>
      <w:r w:rsidR="00D1449B">
        <w:t>.</w:t>
      </w:r>
      <w:r>
        <w:fldChar w:fldCharType="end"/>
      </w:r>
    </w:p>
    <w:p w:rsidR="00A52897" w:rsidRDefault="00A52897" w:rsidP="00BD4808">
      <w:r>
        <w:fldChar w:fldCharType="begin"/>
      </w:r>
      <w:r>
        <w:instrText xml:space="preserve"> REF _Ref16919362 \h </w:instrText>
      </w:r>
      <w:r>
        <w:fldChar w:fldCharType="separate"/>
      </w:r>
      <w:r w:rsidR="00D1449B">
        <w:t xml:space="preserve">Proposal </w:t>
      </w:r>
      <w:r w:rsidR="00D1449B">
        <w:rPr>
          <w:noProof/>
        </w:rPr>
        <w:t>21</w:t>
      </w:r>
      <w:r w:rsidR="00D1449B">
        <w:t>: Discuss whether to extend the functionality of RLM/RRM in NR-U to reflect not only link quality but also link availability. If yes, how?</w:t>
      </w:r>
      <w:r>
        <w:fldChar w:fldCharType="end"/>
      </w:r>
    </w:p>
    <w:p w:rsidR="00A52897" w:rsidRDefault="00A52897" w:rsidP="00BD4808">
      <w:r>
        <w:fldChar w:fldCharType="begin"/>
      </w:r>
      <w:r>
        <w:instrText xml:space="preserve"> REF _Ref16919388 \h </w:instrText>
      </w:r>
      <w:r>
        <w:fldChar w:fldCharType="separate"/>
      </w:r>
      <w:r w:rsidR="00D1449B">
        <w:t xml:space="preserve">Proposal </w:t>
      </w:r>
      <w:r w:rsidR="00D1449B">
        <w:rPr>
          <w:noProof/>
        </w:rPr>
        <w:t>22</w:t>
      </w:r>
      <w:r w:rsidR="00D1449B">
        <w:t>: Discuss whether it is feasible for UE to distinguish between missing RS due to LBT failure and not detecting RS due to bad link condition.</w:t>
      </w:r>
      <w:r>
        <w:fldChar w:fldCharType="end"/>
      </w:r>
    </w:p>
    <w:p w:rsidR="00A52897" w:rsidRDefault="00A52897" w:rsidP="00BD4808">
      <w:r>
        <w:fldChar w:fldCharType="begin"/>
      </w:r>
      <w:r>
        <w:instrText xml:space="preserve"> REF _Ref16919398 \h </w:instrText>
      </w:r>
      <w:r>
        <w:fldChar w:fldCharType="separate"/>
      </w:r>
      <w:r w:rsidR="00D1449B">
        <w:t xml:space="preserve">Proposal </w:t>
      </w:r>
      <w:r w:rsidR="00D1449B">
        <w:rPr>
          <w:noProof/>
        </w:rPr>
        <w:t>23</w:t>
      </w:r>
      <w:r w:rsidR="00D1449B">
        <w:t xml:space="preserve">: For SSB-based RLM in-sync evaluation, UE may use measurements from </w:t>
      </w:r>
      <w:r w:rsidR="00D1449B" w:rsidRPr="00C008BA">
        <w:rPr>
          <w:i/>
        </w:rPr>
        <w:t>only some</w:t>
      </w:r>
      <w:r w:rsidR="00D1449B">
        <w:t xml:space="preserve"> of the DRS transmission windows within the evaluation period for L1 filtering.</w:t>
      </w:r>
      <w:r>
        <w:fldChar w:fldCharType="end"/>
      </w:r>
    </w:p>
    <w:p w:rsidR="00A52897" w:rsidRPr="00A52897" w:rsidRDefault="00A52897" w:rsidP="00A52897">
      <w:pPr>
        <w:pStyle w:val="Caption"/>
        <w:numPr>
          <w:ilvl w:val="0"/>
          <w:numId w:val="20"/>
        </w:numPr>
        <w:rPr>
          <w:b w:val="0"/>
        </w:rPr>
      </w:pPr>
      <w:r w:rsidRPr="00A52897">
        <w:rPr>
          <w:b w:val="0"/>
        </w:rPr>
        <w:t>FFS: Which and the number of DRS transmission windows to be used</w:t>
      </w:r>
    </w:p>
    <w:p w:rsidR="00A52897" w:rsidRPr="00A52897" w:rsidRDefault="00A52897" w:rsidP="00A52897">
      <w:pPr>
        <w:pStyle w:val="Caption"/>
        <w:numPr>
          <w:ilvl w:val="0"/>
          <w:numId w:val="20"/>
        </w:numPr>
        <w:rPr>
          <w:b w:val="0"/>
        </w:rPr>
      </w:pPr>
      <w:r w:rsidRPr="00A52897">
        <w:rPr>
          <w:b w:val="0"/>
        </w:rPr>
        <w:t>Note: It is up to RAN4 to decide whether and how the evaluation period is extended if not all DRS transmission windows are taken into consideration for L1 filtering.</w:t>
      </w:r>
    </w:p>
    <w:p w:rsidR="00A52897" w:rsidRDefault="00A52897" w:rsidP="00BD4808"/>
    <w:p w:rsidR="00A52897" w:rsidRDefault="00A52897" w:rsidP="00BD4808">
      <w:r>
        <w:fldChar w:fldCharType="begin"/>
      </w:r>
      <w:r>
        <w:instrText xml:space="preserve"> REF _Ref16919408 \h </w:instrText>
      </w:r>
      <w:r>
        <w:fldChar w:fldCharType="separate"/>
      </w:r>
      <w:r w:rsidR="00D1449B">
        <w:t xml:space="preserve">Proposal </w:t>
      </w:r>
      <w:r w:rsidR="00D1449B">
        <w:rPr>
          <w:noProof/>
        </w:rPr>
        <w:t>24</w:t>
      </w:r>
      <w:r w:rsidR="00D1449B">
        <w:t>: For SSB-based RLM out-of-sync evaluation, depending on whether or not it is feasible for UE to distinguish the two cases between DTX of SSB due to LBT failure and not detecting SSB due to bad link quality, we have the following proposals.</w:t>
      </w:r>
      <w:r>
        <w:fldChar w:fldCharType="end"/>
      </w:r>
    </w:p>
    <w:p w:rsidR="001C6A82" w:rsidRPr="001C6A82" w:rsidRDefault="001C6A82" w:rsidP="001C6A82">
      <w:pPr>
        <w:pStyle w:val="Caption"/>
        <w:numPr>
          <w:ilvl w:val="0"/>
          <w:numId w:val="20"/>
        </w:numPr>
        <w:rPr>
          <w:b w:val="0"/>
        </w:rPr>
      </w:pPr>
      <w:r w:rsidRPr="001C6A82">
        <w:rPr>
          <w:b w:val="0"/>
        </w:rPr>
        <w:t xml:space="preserve">If it is feasible, UE may use measurements from </w:t>
      </w:r>
      <w:r w:rsidRPr="001C6A82">
        <w:rPr>
          <w:b w:val="0"/>
          <w:i/>
        </w:rPr>
        <w:t>only some</w:t>
      </w:r>
      <w:r w:rsidRPr="001C6A82">
        <w:rPr>
          <w:b w:val="0"/>
        </w:rPr>
        <w:t xml:space="preserve"> of the DRS transmission windows within the out-of-sync evaluation period for L1 filtering.</w:t>
      </w:r>
    </w:p>
    <w:p w:rsidR="001C6A82" w:rsidRPr="001C6A82" w:rsidRDefault="001C6A82" w:rsidP="001C6A82">
      <w:pPr>
        <w:pStyle w:val="Caption"/>
        <w:numPr>
          <w:ilvl w:val="1"/>
          <w:numId w:val="20"/>
        </w:numPr>
        <w:rPr>
          <w:b w:val="0"/>
        </w:rPr>
      </w:pPr>
      <w:r w:rsidRPr="001C6A82">
        <w:rPr>
          <w:b w:val="0"/>
        </w:rPr>
        <w:t>Note: It is up to RAN4 to decide whether and how the out-of-sync evaluation period is extended.</w:t>
      </w:r>
    </w:p>
    <w:p w:rsidR="006B327F" w:rsidRPr="001C6A82" w:rsidRDefault="001C6A82" w:rsidP="001C6A82">
      <w:pPr>
        <w:pStyle w:val="Caption"/>
        <w:numPr>
          <w:ilvl w:val="0"/>
          <w:numId w:val="20"/>
        </w:numPr>
        <w:rPr>
          <w:b w:val="0"/>
        </w:rPr>
      </w:pPr>
      <w:r w:rsidRPr="001C6A82">
        <w:rPr>
          <w:b w:val="0"/>
        </w:rPr>
        <w:t>If it is not feasible, UE indicates OOS to higher layer when all the SSBs configured for RLM measurements are below Qout in all their candidate positions within the out-of-sync evaluation period.</w:t>
      </w:r>
    </w:p>
    <w:p w:rsidR="001C6A82" w:rsidRDefault="001C6A82" w:rsidP="001C6A82"/>
    <w:p w:rsidR="00A52897" w:rsidRDefault="00A52897" w:rsidP="00BD4808">
      <w:r>
        <w:fldChar w:fldCharType="begin"/>
      </w:r>
      <w:r>
        <w:instrText xml:space="preserve"> REF _Ref16919422 \h </w:instrText>
      </w:r>
      <w:r>
        <w:fldChar w:fldCharType="separate"/>
      </w:r>
      <w:r w:rsidR="00D1449B">
        <w:t xml:space="preserve">Proposal </w:t>
      </w:r>
      <w:r w:rsidR="00D1449B">
        <w:rPr>
          <w:noProof/>
        </w:rPr>
        <w:t>25</w:t>
      </w:r>
      <w:r w:rsidR="00D1449B">
        <w:t>: T</w:t>
      </w:r>
      <w:r w:rsidR="00D1449B" w:rsidRPr="0051620C">
        <w:t>he reported RSSI value is normalized by N, which is the number PRBs used by UE for measurement. The exact value of N should be up to UE’s implementation, as long as UE can fulfill RAN4’s requirement.</w:t>
      </w:r>
      <w:r>
        <w:fldChar w:fldCharType="end"/>
      </w:r>
    </w:p>
    <w:p w:rsidR="00A52897" w:rsidRDefault="00A52897" w:rsidP="00BD4808">
      <w:r>
        <w:fldChar w:fldCharType="begin"/>
      </w:r>
      <w:r>
        <w:instrText xml:space="preserve"> REF _Ref16919435 \h </w:instrText>
      </w:r>
      <w:r>
        <w:fldChar w:fldCharType="separate"/>
      </w:r>
      <w:r w:rsidR="00D1449B">
        <w:t xml:space="preserve">Proposal </w:t>
      </w:r>
      <w:r w:rsidR="00D1449B">
        <w:rPr>
          <w:noProof/>
        </w:rPr>
        <w:t>27</w:t>
      </w:r>
      <w:r w:rsidR="00D1449B">
        <w:t>: Sub-band-level RSSI and channel occupancy measurements should be supported.</w:t>
      </w:r>
      <w:r>
        <w:fldChar w:fldCharType="end"/>
      </w:r>
    </w:p>
    <w:p w:rsidR="008A3FFA" w:rsidRDefault="008A3FFA" w:rsidP="00BD4808"/>
    <w:p w:rsidR="009C1480" w:rsidRPr="009C1480" w:rsidRDefault="00055B71" w:rsidP="009C1480">
      <w:pPr>
        <w:pStyle w:val="Heading1"/>
        <w:jc w:val="both"/>
        <w:rPr>
          <w:lang w:eastAsia="zh-CN"/>
        </w:rPr>
      </w:pPr>
      <w:r>
        <w:rPr>
          <w:lang w:eastAsia="zh-CN"/>
        </w:rPr>
        <w:t>References</w:t>
      </w:r>
    </w:p>
    <w:p w:rsidR="00055B71" w:rsidRDefault="000837B1" w:rsidP="00055B71">
      <w:pPr>
        <w:numPr>
          <w:ilvl w:val="0"/>
          <w:numId w:val="39"/>
        </w:numPr>
        <w:overflowPunct/>
        <w:autoSpaceDE/>
        <w:autoSpaceDN/>
        <w:adjustRightInd/>
        <w:spacing w:after="120"/>
        <w:textAlignment w:val="auto"/>
      </w:pPr>
      <w:bookmarkStart w:id="47" w:name="_Ref16873406"/>
      <w:bookmarkStart w:id="48" w:name="_Ref528853922"/>
      <w:bookmarkStart w:id="49" w:name="_Ref481596356"/>
      <w:bookmarkStart w:id="50" w:name="_Ref481781528"/>
      <w:bookmarkStart w:id="51" w:name="_Ref481782557"/>
      <w:r w:rsidRPr="000837B1">
        <w:rPr>
          <w:lang w:val="en-GB"/>
        </w:rPr>
        <w:t>RP-191581</w:t>
      </w:r>
      <w:r w:rsidR="00055B71">
        <w:t>, “</w:t>
      </w:r>
      <w:r w:rsidRPr="000837B1">
        <w:rPr>
          <w:lang w:val="en-GB"/>
        </w:rPr>
        <w:t>Guidance on ess</w:t>
      </w:r>
      <w:r>
        <w:rPr>
          <w:lang w:val="en-GB"/>
        </w:rPr>
        <w:t>ential functionalities for NR-U</w:t>
      </w:r>
      <w:r w:rsidR="00EC3126">
        <w:rPr>
          <w:lang w:val="en-GB"/>
        </w:rPr>
        <w:t>,</w:t>
      </w:r>
      <w:r w:rsidR="00055B71">
        <w:t>” Qualcomm Inc.</w:t>
      </w:r>
      <w:bookmarkEnd w:id="47"/>
    </w:p>
    <w:p w:rsidR="00EC3126" w:rsidRDefault="00EC3126" w:rsidP="00055B71">
      <w:pPr>
        <w:numPr>
          <w:ilvl w:val="0"/>
          <w:numId w:val="39"/>
        </w:numPr>
        <w:overflowPunct/>
        <w:autoSpaceDE/>
        <w:autoSpaceDN/>
        <w:adjustRightInd/>
        <w:spacing w:after="120"/>
        <w:textAlignment w:val="auto"/>
      </w:pPr>
      <w:bookmarkStart w:id="52" w:name="_Ref16916357"/>
      <w:r>
        <w:t>R4-1906967, “On RSSI measurements for NR-U,” Qualcomm Inc.</w:t>
      </w:r>
      <w:bookmarkEnd w:id="52"/>
    </w:p>
    <w:p w:rsidR="000837B1" w:rsidRPr="007F0D30" w:rsidRDefault="00AB0334" w:rsidP="007F0D30">
      <w:pPr>
        <w:numPr>
          <w:ilvl w:val="0"/>
          <w:numId w:val="39"/>
        </w:numPr>
        <w:overflowPunct/>
        <w:autoSpaceDE/>
        <w:autoSpaceDN/>
        <w:adjustRightInd/>
        <w:spacing w:after="120"/>
        <w:textAlignment w:val="auto"/>
        <w:rPr>
          <w:lang w:val="en-GB" w:eastAsia="en-US"/>
        </w:rPr>
      </w:pPr>
      <w:bookmarkStart w:id="53" w:name="_Ref16916373"/>
      <w:r w:rsidRPr="00D63646">
        <w:rPr>
          <w:lang w:val="en-GB" w:eastAsia="en-US"/>
        </w:rPr>
        <w:t>R4-1907326</w:t>
      </w:r>
      <w:r>
        <w:rPr>
          <w:lang w:val="en-GB" w:eastAsia="en-US"/>
        </w:rPr>
        <w:t>, “</w:t>
      </w:r>
      <w:r w:rsidRPr="00D63646">
        <w:rPr>
          <w:lang w:val="en-GB" w:eastAsia="en-US"/>
        </w:rPr>
        <w:t>CR on threshold for FS3 RSSI and channel occupancy tests R13</w:t>
      </w:r>
      <w:r>
        <w:rPr>
          <w:lang w:val="en-GB" w:eastAsia="en-US"/>
        </w:rPr>
        <w:t>”, MediaTek Inc.</w:t>
      </w:r>
      <w:bookmarkEnd w:id="48"/>
      <w:bookmarkEnd w:id="49"/>
      <w:bookmarkEnd w:id="50"/>
      <w:bookmarkEnd w:id="51"/>
      <w:bookmarkEnd w:id="53"/>
    </w:p>
    <w:sectPr w:rsidR="000837B1" w:rsidRPr="007F0D30" w:rsidSect="0054620D">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B1A" w:rsidRDefault="003F6B1A">
      <w:r>
        <w:separator/>
      </w:r>
    </w:p>
  </w:endnote>
  <w:endnote w:type="continuationSeparator" w:id="0">
    <w:p w:rsidR="003F6B1A" w:rsidRDefault="003F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D1449B">
              <w:rPr>
                <w:bCs/>
              </w:rPr>
              <w:t>12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D1449B">
              <w:rPr>
                <w:bCs/>
              </w:rPr>
              <w:t>12</w:t>
            </w:r>
            <w:r>
              <w:rPr>
                <w:b w:val="0"/>
                <w:bCs/>
                <w:sz w:val="24"/>
                <w:szCs w:val="24"/>
              </w:rPr>
              <w:fldChar w:fldCharType="end"/>
            </w:r>
          </w:p>
        </w:sdtContent>
      </w:sdt>
    </w:sdtContent>
  </w:sdt>
  <w:p w:rsidR="00EC56B7" w:rsidRDefault="00EC5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B1A" w:rsidRDefault="003F6B1A">
      <w:r>
        <w:separator/>
      </w:r>
    </w:p>
  </w:footnote>
  <w:footnote w:type="continuationSeparator" w:id="0">
    <w:p w:rsidR="003F6B1A" w:rsidRDefault="003F6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E5066"/>
    <w:multiLevelType w:val="hybridMultilevel"/>
    <w:tmpl w:val="4B242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74059"/>
    <w:multiLevelType w:val="hybridMultilevel"/>
    <w:tmpl w:val="B0CC1B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654AE"/>
    <w:multiLevelType w:val="hybridMultilevel"/>
    <w:tmpl w:val="A3F8E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EC76F4"/>
    <w:multiLevelType w:val="hybridMultilevel"/>
    <w:tmpl w:val="6B4EF86A"/>
    <w:lvl w:ilvl="0" w:tplc="8626E7EC">
      <w:start w:val="1"/>
      <w:numFmt w:val="bullet"/>
      <w:lvlText w:val="▪"/>
      <w:lvlJc w:val="left"/>
      <w:pPr>
        <w:tabs>
          <w:tab w:val="num" w:pos="720"/>
        </w:tabs>
        <w:ind w:left="720" w:hanging="360"/>
      </w:pPr>
      <w:rPr>
        <w:rFonts w:ascii="Lucida Grande" w:hAnsi="Lucida Grande" w:hint="default"/>
      </w:rPr>
    </w:lvl>
    <w:lvl w:ilvl="1" w:tplc="C94C0D1A" w:tentative="1">
      <w:start w:val="1"/>
      <w:numFmt w:val="bullet"/>
      <w:lvlText w:val="▪"/>
      <w:lvlJc w:val="left"/>
      <w:pPr>
        <w:tabs>
          <w:tab w:val="num" w:pos="1440"/>
        </w:tabs>
        <w:ind w:left="1440" w:hanging="360"/>
      </w:pPr>
      <w:rPr>
        <w:rFonts w:ascii="Lucida Grande" w:hAnsi="Lucida Grande" w:hint="default"/>
      </w:rPr>
    </w:lvl>
    <w:lvl w:ilvl="2" w:tplc="EB14F77C" w:tentative="1">
      <w:start w:val="1"/>
      <w:numFmt w:val="bullet"/>
      <w:lvlText w:val="▪"/>
      <w:lvlJc w:val="left"/>
      <w:pPr>
        <w:tabs>
          <w:tab w:val="num" w:pos="2160"/>
        </w:tabs>
        <w:ind w:left="2160" w:hanging="360"/>
      </w:pPr>
      <w:rPr>
        <w:rFonts w:ascii="Lucida Grande" w:hAnsi="Lucida Grande" w:hint="default"/>
      </w:rPr>
    </w:lvl>
    <w:lvl w:ilvl="3" w:tplc="0B74A3A6" w:tentative="1">
      <w:start w:val="1"/>
      <w:numFmt w:val="bullet"/>
      <w:lvlText w:val="▪"/>
      <w:lvlJc w:val="left"/>
      <w:pPr>
        <w:tabs>
          <w:tab w:val="num" w:pos="2880"/>
        </w:tabs>
        <w:ind w:left="2880" w:hanging="360"/>
      </w:pPr>
      <w:rPr>
        <w:rFonts w:ascii="Lucida Grande" w:hAnsi="Lucida Grande" w:hint="default"/>
      </w:rPr>
    </w:lvl>
    <w:lvl w:ilvl="4" w:tplc="BACA8236" w:tentative="1">
      <w:start w:val="1"/>
      <w:numFmt w:val="bullet"/>
      <w:lvlText w:val="▪"/>
      <w:lvlJc w:val="left"/>
      <w:pPr>
        <w:tabs>
          <w:tab w:val="num" w:pos="3600"/>
        </w:tabs>
        <w:ind w:left="3600" w:hanging="360"/>
      </w:pPr>
      <w:rPr>
        <w:rFonts w:ascii="Lucida Grande" w:hAnsi="Lucida Grande" w:hint="default"/>
      </w:rPr>
    </w:lvl>
    <w:lvl w:ilvl="5" w:tplc="E3E446A8" w:tentative="1">
      <w:start w:val="1"/>
      <w:numFmt w:val="bullet"/>
      <w:lvlText w:val="▪"/>
      <w:lvlJc w:val="left"/>
      <w:pPr>
        <w:tabs>
          <w:tab w:val="num" w:pos="4320"/>
        </w:tabs>
        <w:ind w:left="4320" w:hanging="360"/>
      </w:pPr>
      <w:rPr>
        <w:rFonts w:ascii="Lucida Grande" w:hAnsi="Lucida Grande" w:hint="default"/>
      </w:rPr>
    </w:lvl>
    <w:lvl w:ilvl="6" w:tplc="F3FA444A" w:tentative="1">
      <w:start w:val="1"/>
      <w:numFmt w:val="bullet"/>
      <w:lvlText w:val="▪"/>
      <w:lvlJc w:val="left"/>
      <w:pPr>
        <w:tabs>
          <w:tab w:val="num" w:pos="5040"/>
        </w:tabs>
        <w:ind w:left="5040" w:hanging="360"/>
      </w:pPr>
      <w:rPr>
        <w:rFonts w:ascii="Lucida Grande" w:hAnsi="Lucida Grande" w:hint="default"/>
      </w:rPr>
    </w:lvl>
    <w:lvl w:ilvl="7" w:tplc="569401A6" w:tentative="1">
      <w:start w:val="1"/>
      <w:numFmt w:val="bullet"/>
      <w:lvlText w:val="▪"/>
      <w:lvlJc w:val="left"/>
      <w:pPr>
        <w:tabs>
          <w:tab w:val="num" w:pos="5760"/>
        </w:tabs>
        <w:ind w:left="5760" w:hanging="360"/>
      </w:pPr>
      <w:rPr>
        <w:rFonts w:ascii="Lucida Grande" w:hAnsi="Lucida Grande" w:hint="default"/>
      </w:rPr>
    </w:lvl>
    <w:lvl w:ilvl="8" w:tplc="96326C0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50E220D"/>
    <w:multiLevelType w:val="hybridMultilevel"/>
    <w:tmpl w:val="1048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5E1782"/>
    <w:multiLevelType w:val="hybridMultilevel"/>
    <w:tmpl w:val="323EE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F7244C"/>
    <w:multiLevelType w:val="hybridMultilevel"/>
    <w:tmpl w:val="68D4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9C1ADB"/>
    <w:multiLevelType w:val="hybridMultilevel"/>
    <w:tmpl w:val="16D0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572D0B"/>
    <w:multiLevelType w:val="hybridMultilevel"/>
    <w:tmpl w:val="99BE9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B13E6"/>
    <w:multiLevelType w:val="hybridMultilevel"/>
    <w:tmpl w:val="61DA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6"/>
  </w:num>
  <w:num w:numId="4">
    <w:abstractNumId w:val="39"/>
  </w:num>
  <w:num w:numId="5">
    <w:abstractNumId w:val="3"/>
  </w:num>
  <w:num w:numId="6">
    <w:abstractNumId w:val="23"/>
  </w:num>
  <w:num w:numId="7">
    <w:abstractNumId w:val="24"/>
  </w:num>
  <w:num w:numId="8">
    <w:abstractNumId w:val="4"/>
  </w:num>
  <w:num w:numId="9">
    <w:abstractNumId w:val="8"/>
  </w:num>
  <w:num w:numId="10">
    <w:abstractNumId w:val="18"/>
  </w:num>
  <w:num w:numId="11">
    <w:abstractNumId w:val="13"/>
  </w:num>
  <w:num w:numId="12">
    <w:abstractNumId w:val="1"/>
  </w:num>
  <w:num w:numId="13">
    <w:abstractNumId w:val="37"/>
  </w:num>
  <w:num w:numId="14">
    <w:abstractNumId w:val="0"/>
  </w:num>
  <w:num w:numId="15">
    <w:abstractNumId w:val="35"/>
  </w:num>
  <w:num w:numId="16">
    <w:abstractNumId w:val="16"/>
  </w:num>
  <w:num w:numId="17">
    <w:abstractNumId w:val="29"/>
  </w:num>
  <w:num w:numId="18">
    <w:abstractNumId w:val="11"/>
  </w:num>
  <w:num w:numId="19">
    <w:abstractNumId w:val="25"/>
  </w:num>
  <w:num w:numId="20">
    <w:abstractNumId w:val="20"/>
  </w:num>
  <w:num w:numId="21">
    <w:abstractNumId w:val="21"/>
  </w:num>
  <w:num w:numId="22">
    <w:abstractNumId w:val="27"/>
  </w:num>
  <w:num w:numId="23">
    <w:abstractNumId w:val="30"/>
  </w:num>
  <w:num w:numId="24">
    <w:abstractNumId w:val="15"/>
  </w:num>
  <w:num w:numId="25">
    <w:abstractNumId w:val="34"/>
  </w:num>
  <w:num w:numId="26">
    <w:abstractNumId w:val="9"/>
  </w:num>
  <w:num w:numId="27">
    <w:abstractNumId w:val="32"/>
  </w:num>
  <w:num w:numId="28">
    <w:abstractNumId w:val="2"/>
  </w:num>
  <w:num w:numId="29">
    <w:abstractNumId w:val="26"/>
  </w:num>
  <w:num w:numId="30">
    <w:abstractNumId w:val="31"/>
  </w:num>
  <w:num w:numId="31">
    <w:abstractNumId w:val="10"/>
  </w:num>
  <w:num w:numId="32">
    <w:abstractNumId w:val="17"/>
  </w:num>
  <w:num w:numId="33">
    <w:abstractNumId w:val="28"/>
  </w:num>
  <w:num w:numId="34">
    <w:abstractNumId w:val="38"/>
  </w:num>
  <w:num w:numId="35">
    <w:abstractNumId w:val="19"/>
  </w:num>
  <w:num w:numId="36">
    <w:abstractNumId w:val="33"/>
  </w:num>
  <w:num w:numId="37">
    <w:abstractNumId w:val="22"/>
  </w:num>
  <w:num w:numId="38">
    <w:abstractNumId w:val="7"/>
  </w:num>
  <w:num w:numId="39">
    <w:abstractNumId w:val="14"/>
  </w:num>
  <w:num w:numId="4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606"/>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816"/>
    <w:rsid w:val="000558AA"/>
    <w:rsid w:val="00055B71"/>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41"/>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AD0"/>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FE1"/>
    <w:rsid w:val="000B0533"/>
    <w:rsid w:val="000B067F"/>
    <w:rsid w:val="000B06A4"/>
    <w:rsid w:val="000B06E7"/>
    <w:rsid w:val="000B0742"/>
    <w:rsid w:val="000B0B7E"/>
    <w:rsid w:val="000B13E4"/>
    <w:rsid w:val="000B1FF6"/>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0E0"/>
    <w:rsid w:val="000C1120"/>
    <w:rsid w:val="000C16BE"/>
    <w:rsid w:val="000C1743"/>
    <w:rsid w:val="000C1789"/>
    <w:rsid w:val="000C1CD0"/>
    <w:rsid w:val="000C1FCE"/>
    <w:rsid w:val="000C1FEF"/>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652"/>
    <w:rsid w:val="000F2C79"/>
    <w:rsid w:val="000F30B8"/>
    <w:rsid w:val="000F3233"/>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5CE7"/>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2F5"/>
    <w:rsid w:val="001676F8"/>
    <w:rsid w:val="00167915"/>
    <w:rsid w:val="001679FD"/>
    <w:rsid w:val="00167BA5"/>
    <w:rsid w:val="00167F21"/>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67"/>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6EA5"/>
    <w:rsid w:val="001772DA"/>
    <w:rsid w:val="00177369"/>
    <w:rsid w:val="001773AE"/>
    <w:rsid w:val="00177535"/>
    <w:rsid w:val="00177568"/>
    <w:rsid w:val="001775C4"/>
    <w:rsid w:val="001775C5"/>
    <w:rsid w:val="001778DC"/>
    <w:rsid w:val="00177ED9"/>
    <w:rsid w:val="00177F4F"/>
    <w:rsid w:val="0018017B"/>
    <w:rsid w:val="001806A3"/>
    <w:rsid w:val="00180EDF"/>
    <w:rsid w:val="00181069"/>
    <w:rsid w:val="001814D7"/>
    <w:rsid w:val="00181924"/>
    <w:rsid w:val="0018214F"/>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3C48"/>
    <w:rsid w:val="00193ED0"/>
    <w:rsid w:val="00194775"/>
    <w:rsid w:val="00194A6C"/>
    <w:rsid w:val="00194A87"/>
    <w:rsid w:val="00194C56"/>
    <w:rsid w:val="00195650"/>
    <w:rsid w:val="00195759"/>
    <w:rsid w:val="00195767"/>
    <w:rsid w:val="001957D2"/>
    <w:rsid w:val="00195BDF"/>
    <w:rsid w:val="00195E36"/>
    <w:rsid w:val="0019624C"/>
    <w:rsid w:val="00196315"/>
    <w:rsid w:val="001963A1"/>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82"/>
    <w:rsid w:val="001C6AF5"/>
    <w:rsid w:val="001C6D9E"/>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3A8"/>
    <w:rsid w:val="002023FE"/>
    <w:rsid w:val="00202401"/>
    <w:rsid w:val="00202436"/>
    <w:rsid w:val="00202471"/>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45"/>
    <w:rsid w:val="00221078"/>
    <w:rsid w:val="0022148B"/>
    <w:rsid w:val="002214AD"/>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A96"/>
    <w:rsid w:val="00237C27"/>
    <w:rsid w:val="00237F5C"/>
    <w:rsid w:val="00240118"/>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4AF"/>
    <w:rsid w:val="002436BC"/>
    <w:rsid w:val="00243712"/>
    <w:rsid w:val="002437A0"/>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06B"/>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102"/>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144"/>
    <w:rsid w:val="002854EB"/>
    <w:rsid w:val="00285749"/>
    <w:rsid w:val="00285B20"/>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017"/>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4E5"/>
    <w:rsid w:val="002C2503"/>
    <w:rsid w:val="002C28CD"/>
    <w:rsid w:val="002C2CBC"/>
    <w:rsid w:val="002C2CFA"/>
    <w:rsid w:val="002C2D95"/>
    <w:rsid w:val="002C2FF2"/>
    <w:rsid w:val="002C3037"/>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D7FB4"/>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4E"/>
    <w:rsid w:val="002E4BB8"/>
    <w:rsid w:val="002E4C5F"/>
    <w:rsid w:val="002E4D84"/>
    <w:rsid w:val="002E52AE"/>
    <w:rsid w:val="002E55CC"/>
    <w:rsid w:val="002E58A7"/>
    <w:rsid w:val="002E5A45"/>
    <w:rsid w:val="002E5A57"/>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2191"/>
    <w:rsid w:val="00312277"/>
    <w:rsid w:val="00312535"/>
    <w:rsid w:val="0031253C"/>
    <w:rsid w:val="00312673"/>
    <w:rsid w:val="0031268F"/>
    <w:rsid w:val="003127CA"/>
    <w:rsid w:val="00312856"/>
    <w:rsid w:val="00312959"/>
    <w:rsid w:val="00312F08"/>
    <w:rsid w:val="003133F3"/>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128"/>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300F"/>
    <w:rsid w:val="003435F4"/>
    <w:rsid w:val="003436A3"/>
    <w:rsid w:val="00343CCD"/>
    <w:rsid w:val="00344180"/>
    <w:rsid w:val="00344374"/>
    <w:rsid w:val="00344852"/>
    <w:rsid w:val="00344A7C"/>
    <w:rsid w:val="00344EB2"/>
    <w:rsid w:val="00345023"/>
    <w:rsid w:val="00345134"/>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993"/>
    <w:rsid w:val="0035735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9E5"/>
    <w:rsid w:val="00364D2E"/>
    <w:rsid w:val="0036569F"/>
    <w:rsid w:val="003656E6"/>
    <w:rsid w:val="0036594F"/>
    <w:rsid w:val="0036595F"/>
    <w:rsid w:val="00365F32"/>
    <w:rsid w:val="00366192"/>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9BC"/>
    <w:rsid w:val="003E2C4D"/>
    <w:rsid w:val="003E3645"/>
    <w:rsid w:val="003E3ABC"/>
    <w:rsid w:val="003E3ADF"/>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3EBF"/>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AC3"/>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599"/>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D1B"/>
    <w:rsid w:val="004D4F4C"/>
    <w:rsid w:val="004D4FCC"/>
    <w:rsid w:val="004D52F6"/>
    <w:rsid w:val="004D5606"/>
    <w:rsid w:val="004D561F"/>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1C2"/>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1F90"/>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EC9"/>
    <w:rsid w:val="00516060"/>
    <w:rsid w:val="00516166"/>
    <w:rsid w:val="0051620C"/>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351"/>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0A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AD1"/>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33"/>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41B"/>
    <w:rsid w:val="005A06E7"/>
    <w:rsid w:val="005A071D"/>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7F"/>
    <w:rsid w:val="005A3D52"/>
    <w:rsid w:val="005A3E77"/>
    <w:rsid w:val="005A3F5C"/>
    <w:rsid w:val="005A411A"/>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70"/>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1EDC"/>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8E5"/>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770"/>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10"/>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149"/>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84F"/>
    <w:rsid w:val="007358C0"/>
    <w:rsid w:val="007359D7"/>
    <w:rsid w:val="00735C01"/>
    <w:rsid w:val="00736CC2"/>
    <w:rsid w:val="00737577"/>
    <w:rsid w:val="007376FB"/>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8B7"/>
    <w:rsid w:val="00744F44"/>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254"/>
    <w:rsid w:val="0075286F"/>
    <w:rsid w:val="007528D3"/>
    <w:rsid w:val="00752A0C"/>
    <w:rsid w:val="00752A61"/>
    <w:rsid w:val="00752AB8"/>
    <w:rsid w:val="0075308C"/>
    <w:rsid w:val="007530E4"/>
    <w:rsid w:val="00753453"/>
    <w:rsid w:val="00753615"/>
    <w:rsid w:val="0075384F"/>
    <w:rsid w:val="007538D1"/>
    <w:rsid w:val="00753A02"/>
    <w:rsid w:val="0075402D"/>
    <w:rsid w:val="00754097"/>
    <w:rsid w:val="0075410E"/>
    <w:rsid w:val="007542B6"/>
    <w:rsid w:val="007544FA"/>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BC6"/>
    <w:rsid w:val="00773E86"/>
    <w:rsid w:val="00774029"/>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522"/>
    <w:rsid w:val="00796C1E"/>
    <w:rsid w:val="00796D38"/>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3E4A"/>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134"/>
    <w:rsid w:val="00901333"/>
    <w:rsid w:val="00901A6D"/>
    <w:rsid w:val="009022EE"/>
    <w:rsid w:val="00902670"/>
    <w:rsid w:val="009029D6"/>
    <w:rsid w:val="00902EE1"/>
    <w:rsid w:val="00902EF2"/>
    <w:rsid w:val="00903009"/>
    <w:rsid w:val="009030BC"/>
    <w:rsid w:val="009031F0"/>
    <w:rsid w:val="0090355B"/>
    <w:rsid w:val="009035C5"/>
    <w:rsid w:val="00903654"/>
    <w:rsid w:val="00903C95"/>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03F"/>
    <w:rsid w:val="00955192"/>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DC8"/>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30A"/>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2FC1"/>
    <w:rsid w:val="00983086"/>
    <w:rsid w:val="00983515"/>
    <w:rsid w:val="00983665"/>
    <w:rsid w:val="009838E1"/>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27"/>
    <w:rsid w:val="00995CCE"/>
    <w:rsid w:val="00995E17"/>
    <w:rsid w:val="009960A5"/>
    <w:rsid w:val="00996732"/>
    <w:rsid w:val="00996888"/>
    <w:rsid w:val="00996C40"/>
    <w:rsid w:val="00996F28"/>
    <w:rsid w:val="00997056"/>
    <w:rsid w:val="009971DF"/>
    <w:rsid w:val="00997361"/>
    <w:rsid w:val="00997584"/>
    <w:rsid w:val="00997A2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6F33"/>
    <w:rsid w:val="009A722D"/>
    <w:rsid w:val="009A7356"/>
    <w:rsid w:val="009A7766"/>
    <w:rsid w:val="009A7B24"/>
    <w:rsid w:val="009A7D94"/>
    <w:rsid w:val="009A7EB5"/>
    <w:rsid w:val="009B0005"/>
    <w:rsid w:val="009B0107"/>
    <w:rsid w:val="009B02DF"/>
    <w:rsid w:val="009B0313"/>
    <w:rsid w:val="009B03D2"/>
    <w:rsid w:val="009B0496"/>
    <w:rsid w:val="009B0803"/>
    <w:rsid w:val="009B0A60"/>
    <w:rsid w:val="009B0A96"/>
    <w:rsid w:val="009B0AAB"/>
    <w:rsid w:val="009B0CC1"/>
    <w:rsid w:val="009B0E9C"/>
    <w:rsid w:val="009B11B5"/>
    <w:rsid w:val="009B1359"/>
    <w:rsid w:val="009B143A"/>
    <w:rsid w:val="009B14D4"/>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480"/>
    <w:rsid w:val="009C14D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413"/>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5C5C"/>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D7F"/>
    <w:rsid w:val="00A11DA6"/>
    <w:rsid w:val="00A121AA"/>
    <w:rsid w:val="00A121C0"/>
    <w:rsid w:val="00A121C1"/>
    <w:rsid w:val="00A1227D"/>
    <w:rsid w:val="00A122C3"/>
    <w:rsid w:val="00A1269F"/>
    <w:rsid w:val="00A129E9"/>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AF0"/>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2FFD"/>
    <w:rsid w:val="00B23114"/>
    <w:rsid w:val="00B2333A"/>
    <w:rsid w:val="00B23561"/>
    <w:rsid w:val="00B235F4"/>
    <w:rsid w:val="00B23CFB"/>
    <w:rsid w:val="00B23F91"/>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9AE"/>
    <w:rsid w:val="00B43E85"/>
    <w:rsid w:val="00B44073"/>
    <w:rsid w:val="00B440CD"/>
    <w:rsid w:val="00B443D0"/>
    <w:rsid w:val="00B444B1"/>
    <w:rsid w:val="00B44656"/>
    <w:rsid w:val="00B44BCF"/>
    <w:rsid w:val="00B44E7C"/>
    <w:rsid w:val="00B45437"/>
    <w:rsid w:val="00B4560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20D"/>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6E2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6E37"/>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28"/>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4DE"/>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1C2"/>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BC4"/>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079"/>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99C"/>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6D5F"/>
    <w:rsid w:val="00C4727C"/>
    <w:rsid w:val="00C47708"/>
    <w:rsid w:val="00C47CA9"/>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9E5"/>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560"/>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8E2"/>
    <w:rsid w:val="00C71AF3"/>
    <w:rsid w:val="00C71D3C"/>
    <w:rsid w:val="00C71F19"/>
    <w:rsid w:val="00C71FF4"/>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899"/>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B29"/>
    <w:rsid w:val="00C97E32"/>
    <w:rsid w:val="00CA08A2"/>
    <w:rsid w:val="00CA0AF3"/>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6CC"/>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979"/>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A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33DA"/>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27B"/>
    <w:rsid w:val="00D51559"/>
    <w:rsid w:val="00D515A5"/>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419"/>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185"/>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A79"/>
    <w:rsid w:val="00D80C65"/>
    <w:rsid w:val="00D80EBC"/>
    <w:rsid w:val="00D81053"/>
    <w:rsid w:val="00D81446"/>
    <w:rsid w:val="00D81593"/>
    <w:rsid w:val="00D81619"/>
    <w:rsid w:val="00D8179E"/>
    <w:rsid w:val="00D818C6"/>
    <w:rsid w:val="00D81A0E"/>
    <w:rsid w:val="00D81BE8"/>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3E48"/>
    <w:rsid w:val="00DB41E5"/>
    <w:rsid w:val="00DB472B"/>
    <w:rsid w:val="00DB4E41"/>
    <w:rsid w:val="00DB513F"/>
    <w:rsid w:val="00DB518D"/>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76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F84"/>
    <w:rsid w:val="00DD0FA6"/>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684"/>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261"/>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64AB"/>
    <w:rsid w:val="00E2656C"/>
    <w:rsid w:val="00E265FF"/>
    <w:rsid w:val="00E267FB"/>
    <w:rsid w:val="00E26AB2"/>
    <w:rsid w:val="00E26ECE"/>
    <w:rsid w:val="00E2710C"/>
    <w:rsid w:val="00E271DA"/>
    <w:rsid w:val="00E27729"/>
    <w:rsid w:val="00E2776A"/>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3DE8"/>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EF7F38"/>
    <w:rsid w:val="00F0018C"/>
    <w:rsid w:val="00F00853"/>
    <w:rsid w:val="00F008A4"/>
    <w:rsid w:val="00F00AA8"/>
    <w:rsid w:val="00F00C55"/>
    <w:rsid w:val="00F00CD4"/>
    <w:rsid w:val="00F0112E"/>
    <w:rsid w:val="00F0164E"/>
    <w:rsid w:val="00F01C99"/>
    <w:rsid w:val="00F02578"/>
    <w:rsid w:val="00F0258B"/>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3F8"/>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43"/>
    <w:rsid w:val="00F165A2"/>
    <w:rsid w:val="00F16607"/>
    <w:rsid w:val="00F16A2B"/>
    <w:rsid w:val="00F16F17"/>
    <w:rsid w:val="00F1717A"/>
    <w:rsid w:val="00F179D5"/>
    <w:rsid w:val="00F17A48"/>
    <w:rsid w:val="00F17D0D"/>
    <w:rsid w:val="00F17EC3"/>
    <w:rsid w:val="00F17F16"/>
    <w:rsid w:val="00F2062A"/>
    <w:rsid w:val="00F207D5"/>
    <w:rsid w:val="00F20917"/>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85"/>
    <w:rsid w:val="00F35DDF"/>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4F5D"/>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CD1"/>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7.bin"/><Relationship Id="rId34"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7.emf"/><Relationship Id="rId38"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9.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4.bin"/><Relationship Id="rId35"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369EA1C8-54CE-4FD7-ABE4-5408D1EE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6106</Words>
  <Characters>34808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40833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15</cp:revision>
  <cp:lastPrinted>2017-10-02T09:51:00Z</cp:lastPrinted>
  <dcterms:created xsi:type="dcterms:W3CDTF">2019-08-16T23:23:00Z</dcterms:created>
  <dcterms:modified xsi:type="dcterms:W3CDTF">2019-08-17T00:23:00Z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